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800"/>
      </w:pPr>
      <w:r>
        <w:rPr>
          <w:rFonts w:ascii="Calibri" w:cs="Calibri" w:eastAsia="Calibri" w:hAnsi="Calibri"/>
          <w:b/>
          <w:bCs/>
          <w:color w:val="1C1C1E"/>
          <w:sz w:val="80"/>
          <w:szCs w:val="80"/>
        </w:rPr>
        <w:t xml:space="preserve">HillWatch</w:t>
      </w:r>
    </w:p>
    <w:p>
      <w:pPr>
        <w:spacing w:after="160" w:before="0"/>
      </w:pPr>
      <w:r>
        <w:rPr>
          <w:rFonts w:ascii="Calibri" w:cs="Calibri" w:eastAsia="Calibri" w:hAnsi="Calibri"/>
          <w:color w:val="C0392B"/>
          <w:sz w:val="40"/>
          <w:szCs w:val="40"/>
        </w:rPr>
        <w:t xml:space="preserve">Strategic Growth Plan</w:t>
      </w:r>
    </w:p>
    <w:p>
      <w:pPr>
        <w:spacing w:after="80" w:before="0"/>
      </w:pPr>
      <w:r>
        <w:rPr>
          <w:rFonts w:ascii="Calibri" w:cs="Calibri" w:eastAsia="Calibri" w:hAnsi="Calibri"/>
          <w:i/>
          <w:iCs/>
          <w:color w:val="666666"/>
          <w:sz w:val="24"/>
          <w:szCs w:val="24"/>
        </w:rPr>
        <w:t xml:space="preserve">Funding Strategy · Civic Curriculum Integration · Go-to-Market Roadmap</w:t>
      </w:r>
    </w:p>
    <w:p>
      <w:pPr>
        <w:spacing w:after="800" w:before="0"/>
      </w:pPr>
      <w:r>
        <w:rPr>
          <w:rFonts w:ascii="Calibri" w:cs="Calibri" w:eastAsia="Calibri" w:hAnsi="Calibri"/>
          <w:color w:val="999999"/>
          <w:sz w:val="20"/>
          <w:szCs w:val="20"/>
        </w:rPr>
        <w:t xml:space="preserve">Confidential · April 2026 · For Authorized Recipients Only</w:t>
      </w:r>
    </w:p>
    <w:p>
      <w:pPr>
        <w:pBdr>
          <w:left w:val="single" w:color="C0392B" w:sz="12" w:space="12"/>
        </w:pBdr>
        <w:spacing w:after="160" w:before="160"/>
        <w:ind w:left="360"/>
      </w:pPr>
      <w:r>
        <w:rPr>
          <w:rFonts w:ascii="Calibri" w:cs="Calibri" w:eastAsia="Calibri" w:hAnsi="Calibri"/>
          <w:b/>
          <w:bCs/>
          <w:i/>
          <w:iCs/>
          <w:color w:val="1C1C1E"/>
          <w:sz w:val="22"/>
          <w:szCs w:val="22"/>
        </w:rPr>
        <w:t xml:space="preserve">Policy intelligence platforms track what governments do. HillWatch tracks how Canadians react. In real time. That data doesn't exist anywhere else.</w:t>
      </w:r>
    </w:p>
    <w:p>
      <w:pPr>
        <w:spacing w:after="120" w:before="200"/>
      </w:pPr>
      <w:r>
        <w:rPr>
          <w:rFonts w:ascii="Calibri" w:cs="Calibri" w:eastAsia="Calibri" w:hAnsi="Calibri"/>
          <w:b/>
          <w:bCs/>
          <w:color w:val="1C1C1E"/>
          <w:sz w:val="24"/>
          <w:szCs w:val="24"/>
        </w:rPr>
        <w:t xml:space="preserve">The Thesis</w:t>
      </w:r>
    </w:p>
    <w:p>
      <w:pPr>
        <w:spacing w:after="120" w:before="80"/>
      </w:pPr>
      <w:r>
        <w:rPr>
          <w:rFonts w:ascii="Calibri" w:cs="Calibri" w:eastAsia="Calibri" w:hAnsi="Calibri"/>
          <w:color w:val="333333"/>
          <w:sz w:val="22"/>
          <w:szCs w:val="22"/>
        </w:rPr>
        <w:t xml:space="preserve">HillWatch is not a media app. It is not a news app. It is a new data layer in the Canadian policy ecosystem. the front-end and public reaction layer that sits on top of existing policy intelligence platforms. The goal is to make civic intelligence free for every Canadian, sustainable through enterprise and data licensing, and embedded into the fabric of Canadian civic education.</w:t>
      </w:r>
    </w:p>
    <w:p>
      <w:pPr>
        <w:spacing w:after="120" w:before="80"/>
      </w:pPr>
      <w:r>
        <w:rPr>
          <w:rFonts w:ascii="Calibri" w:cs="Calibri" w:eastAsia="Calibri" w:hAnsi="Calibri"/>
          <w:color w:val="333333"/>
          <w:sz w:val="22"/>
          <w:szCs w:val="22"/>
        </w:rPr>
        <w:t xml:space="preserve">This document maps out two interconnected strategies: how to find the right funding partner to build and launch the app, and how to make HillWatch a mandatory part of secondary school civics education across Canada.</w:t>
      </w:r>
    </w:p>
    <w:p>
      <w:r>
        <w:br w:type="page"/>
      </w:r>
    </w:p>
    <w:p>
      <w:pPr>
        <w:pStyle w:val="Heading1"/>
        <w:spacing w:after="200" w:before="480"/>
      </w:pPr>
      <w:r>
        <w:rPr>
          <w:rFonts w:ascii="Calibri" w:cs="Calibri" w:eastAsia="Calibri" w:hAnsi="Calibri"/>
          <w:b/>
          <w:bCs/>
          <w:color w:val="1C1C1E"/>
          <w:sz w:val="40"/>
          <w:szCs w:val="40"/>
        </w:rPr>
        <w:t xml:space="preserve">Part 1: Finding the Right Funding Partner</w:t>
      </w:r>
    </w:p>
    <w:p>
      <w:pPr>
        <w:spacing w:after="120" w:before="80"/>
      </w:pPr>
      <w:r>
        <w:rPr>
          <w:rFonts w:ascii="Calibri" w:cs="Calibri" w:eastAsia="Calibri" w:hAnsi="Calibri"/>
          <w:color w:val="333333"/>
          <w:sz w:val="22"/>
          <w:szCs w:val="22"/>
        </w:rPr>
        <w:t xml:space="preserve">HillWatch does not need a traditional venture capital investor. It needs a mission-aligned capital partner. an individual, foundation, or institution that wants to fund something that matters for Canada, not just something that generates returns. The right partner builds the app, makes it free for all Canadians, and takes a meaningful equity stake in the platform as it scales.</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What We Are Looking For</w:t>
      </w:r>
    </w:p>
    <w:p>
      <w:pPr>
        <w:pBdr>
          <w:left w:val="single" w:color="C0392B" w:sz="12" w:space="12"/>
        </w:pBdr>
        <w:spacing w:after="160" w:before="160"/>
        <w:ind w:left="360"/>
      </w:pPr>
      <w:r>
        <w:rPr>
          <w:rFonts w:ascii="Calibri" w:cs="Calibri" w:eastAsia="Calibri" w:hAnsi="Calibri"/>
          <w:b/>
          <w:bCs/>
          <w:i/>
          <w:iCs/>
          <w:color w:val="1C1C1E"/>
          <w:sz w:val="22"/>
          <w:szCs w:val="22"/>
        </w:rPr>
        <w:t xml:space="preserve">We are not raising a seed round. We are offering a partnership in a civic infrastructure project. the kind that lasts a generation.</w:t>
      </w:r>
    </w:p>
    <w:p>
      <w:pPr>
        <w:spacing w:after="120" w:before="80"/>
      </w:pPr>
      <w:r>
        <w:rPr>
          <w:rFonts w:ascii="Calibri" w:cs="Calibri" w:eastAsia="Calibri" w:hAnsi="Calibri"/>
          <w:color w:val="333333"/>
          <w:sz w:val="22"/>
          <w:szCs w:val="22"/>
        </w:rPr>
        <w:t xml:space="preserve">The ideal funding partner brings three things:</w:t>
      </w:r>
    </w:p>
    <w:p>
      <w:pPr>
        <w:pStyle w:val="ListParagraph"/>
        <w:numPr>
          <w:ilvl w:val="0"/>
          <w:numId w:val="2"/>
        </w:numPr>
        <w:spacing w:after="60" w:before="60"/>
      </w:pPr>
      <w:r>
        <w:rPr>
          <w:rFonts w:ascii="Calibri" w:cs="Calibri" w:eastAsia="Calibri" w:hAnsi="Calibri"/>
          <w:color w:val="333333"/>
          <w:sz w:val="22"/>
          <w:szCs w:val="22"/>
        </w:rPr>
        <w:t xml:space="preserve">Capital sufficient to build the full platform (estimated $800K to $1.5M CAD CAD for MVP to public launch)</w:t>
      </w:r>
    </w:p>
    <w:p>
      <w:pPr>
        <w:pStyle w:val="ListParagraph"/>
        <w:numPr>
          <w:ilvl w:val="0"/>
          <w:numId w:val="2"/>
        </w:numPr>
        <w:spacing w:after="60" w:before="60"/>
      </w:pPr>
      <w:r>
        <w:rPr>
          <w:rFonts w:ascii="Calibri" w:cs="Calibri" w:eastAsia="Calibri" w:hAnsi="Calibri"/>
          <w:color w:val="333333"/>
          <w:sz w:val="22"/>
          <w:szCs w:val="22"/>
        </w:rPr>
        <w:t xml:space="preserve">Alignment with the mission of civic education, democratic participation, and Canadian identity</w:t>
      </w:r>
    </w:p>
    <w:p>
      <w:pPr>
        <w:pStyle w:val="ListParagraph"/>
        <w:numPr>
          <w:ilvl w:val="0"/>
          <w:numId w:val="2"/>
        </w:numPr>
        <w:spacing w:after="60" w:before="60"/>
      </w:pPr>
      <w:r>
        <w:rPr>
          <w:rFonts w:ascii="Calibri" w:cs="Calibri" w:eastAsia="Calibri" w:hAnsi="Calibri"/>
          <w:color w:val="333333"/>
          <w:sz w:val="22"/>
          <w:szCs w:val="22"/>
        </w:rPr>
        <w:t xml:space="preserve">Patience. this is a platform that compounds over time as the user base grows and the data layer deepens</w:t>
      </w:r>
    </w:p>
    <w:p>
      <w:pPr>
        <w:spacing w:after="100" w:before="200"/>
      </w:pPr>
      <w:r>
        <w:rPr>
          <w:rFonts w:ascii="Calibri" w:cs="Calibri" w:eastAsia="Calibri" w:hAnsi="Calibri"/>
          <w:b/>
          <w:bCs/>
          <w:color w:val="1C1C1E"/>
          <w:sz w:val="22"/>
          <w:szCs w:val="22"/>
        </w:rPr>
        <w:t xml:space="preserve">What the partner receives:</w:t>
      </w:r>
    </w:p>
    <w:p>
      <w:pPr>
        <w:pStyle w:val="ListParagraph"/>
        <w:numPr>
          <w:ilvl w:val="0"/>
          <w:numId w:val="2"/>
        </w:numPr>
        <w:spacing w:after="60" w:before="60"/>
      </w:pPr>
      <w:r>
        <w:rPr>
          <w:rFonts w:ascii="Calibri" w:cs="Calibri" w:eastAsia="Calibri" w:hAnsi="Calibri"/>
          <w:color w:val="333333"/>
          <w:sz w:val="22"/>
          <w:szCs w:val="22"/>
        </w:rPr>
        <w:t xml:space="preserve">Significant equity stake (negotiable based on capital committed. 20 to 40 percent)</w:t>
      </w:r>
    </w:p>
    <w:p>
      <w:pPr>
        <w:pStyle w:val="ListParagraph"/>
        <w:numPr>
          <w:ilvl w:val="0"/>
          <w:numId w:val="2"/>
        </w:numPr>
        <w:spacing w:after="60" w:before="60"/>
      </w:pPr>
      <w:r>
        <w:rPr>
          <w:rFonts w:ascii="Calibri" w:cs="Calibri" w:eastAsia="Calibri" w:hAnsi="Calibri"/>
          <w:color w:val="333333"/>
          <w:sz w:val="22"/>
          <w:szCs w:val="22"/>
        </w:rPr>
        <w:t xml:space="preserve">Named association with a civic platform used by millions of Canadians</w:t>
      </w:r>
    </w:p>
    <w:p>
      <w:pPr>
        <w:pStyle w:val="ListParagraph"/>
        <w:numPr>
          <w:ilvl w:val="0"/>
          <w:numId w:val="2"/>
        </w:numPr>
        <w:spacing w:after="60" w:before="60"/>
      </w:pPr>
      <w:r>
        <w:rPr>
          <w:rFonts w:ascii="Calibri" w:cs="Calibri" w:eastAsia="Calibri" w:hAnsi="Calibri"/>
          <w:color w:val="333333"/>
          <w:sz w:val="22"/>
          <w:szCs w:val="22"/>
        </w:rPr>
        <w:t xml:space="preserve">Board or advisory seat</w:t>
      </w:r>
    </w:p>
    <w:p>
      <w:pPr>
        <w:pStyle w:val="ListParagraph"/>
        <w:numPr>
          <w:ilvl w:val="0"/>
          <w:numId w:val="2"/>
        </w:numPr>
        <w:spacing w:after="60" w:before="60"/>
      </w:pPr>
      <w:r>
        <w:rPr>
          <w:rFonts w:ascii="Calibri" w:cs="Calibri" w:eastAsia="Calibri" w:hAnsi="Calibri"/>
          <w:color w:val="333333"/>
          <w:sz w:val="22"/>
          <w:szCs w:val="22"/>
        </w:rPr>
        <w:t xml:space="preserve">First access to sentiment data and enterprise intelligence</w:t>
      </w:r>
    </w:p>
    <w:p>
      <w:pPr>
        <w:pStyle w:val="ListParagraph"/>
        <w:numPr>
          <w:ilvl w:val="0"/>
          <w:numId w:val="2"/>
        </w:numPr>
        <w:spacing w:after="60" w:before="60"/>
      </w:pPr>
      <w:r>
        <w:rPr>
          <w:rFonts w:ascii="Calibri" w:cs="Calibri" w:eastAsia="Calibri" w:hAnsi="Calibri"/>
          <w:color w:val="333333"/>
          <w:sz w:val="22"/>
          <w:szCs w:val="22"/>
        </w:rPr>
        <w:t xml:space="preserve">An asset that appreciates as Canada's only civic intelligence platform</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Who We Are Targeting</w:t>
      </w:r>
    </w:p>
    <w:p>
      <w:pPr>
        <w:spacing w:after="100" w:before="240"/>
      </w:pPr>
      <w:r>
        <w:rPr>
          <w:rFonts w:ascii="Calibri" w:cs="Calibri" w:eastAsia="Calibri" w:hAnsi="Calibri"/>
          <w:b/>
          <w:bCs/>
          <w:color w:val="1C1C1E"/>
          <w:sz w:val="24"/>
          <w:szCs w:val="24"/>
        </w:rPr>
        <w:t xml:space="preserve">Tier 1: Mission-Aligned High-Net-Worth Canadians</w:t>
      </w:r>
    </w:p>
    <w:p>
      <w:pPr>
        <w:spacing w:after="120" w:before="80"/>
      </w:pPr>
      <w:r>
        <w:rPr>
          <w:rFonts w:ascii="Calibri" w:cs="Calibri" w:eastAsia="Calibri" w:hAnsi="Calibri"/>
          <w:color w:val="333333"/>
          <w:sz w:val="22"/>
          <w:szCs w:val="22"/>
        </w:rPr>
        <w:t xml:space="preserve">The ideal partner is a successful Canadian entrepreneur or executive who has already made their money and now wants to build something that matters. Think the profile of a person who sold a technology or media company, has deep Canadian roots, and is looking for a legacy project with real civic impact.</w:t>
      </w:r>
    </w:p>
    <w:p>
      <w:pPr>
        <w:pStyle w:val="ListParagraph"/>
        <w:numPr>
          <w:ilvl w:val="0"/>
          <w:numId w:val="2"/>
        </w:numPr>
        <w:spacing w:after="60" w:before="60"/>
      </w:pPr>
      <w:r>
        <w:rPr>
          <w:rFonts w:ascii="Calibri" w:cs="Calibri" w:eastAsia="Calibri" w:hAnsi="Calibri"/>
          <w:color w:val="333333"/>
          <w:sz w:val="22"/>
          <w:szCs w:val="22"/>
        </w:rPr>
        <w:t xml:space="preserve">Former tech founders (Canadian exits in media, SaaS, fintech)</w:t>
      </w:r>
    </w:p>
    <w:p>
      <w:pPr>
        <w:pStyle w:val="ListParagraph"/>
        <w:numPr>
          <w:ilvl w:val="0"/>
          <w:numId w:val="2"/>
        </w:numPr>
        <w:spacing w:after="60" w:before="60"/>
      </w:pPr>
      <w:r>
        <w:rPr>
          <w:rFonts w:ascii="Calibri" w:cs="Calibri" w:eastAsia="Calibri" w:hAnsi="Calibri"/>
          <w:color w:val="333333"/>
          <w:sz w:val="22"/>
          <w:szCs w:val="22"/>
        </w:rPr>
        <w:t xml:space="preserve">Retired executives from major Canadian institutions (banks, telecoms, media)</w:t>
      </w:r>
    </w:p>
    <w:p>
      <w:pPr>
        <w:pStyle w:val="ListParagraph"/>
        <w:numPr>
          <w:ilvl w:val="0"/>
          <w:numId w:val="2"/>
        </w:numPr>
        <w:spacing w:after="60" w:before="60"/>
      </w:pPr>
      <w:r>
        <w:rPr>
          <w:rFonts w:ascii="Calibri" w:cs="Calibri" w:eastAsia="Calibri" w:hAnsi="Calibri"/>
          <w:color w:val="333333"/>
          <w:sz w:val="22"/>
          <w:szCs w:val="22"/>
        </w:rPr>
        <w:t xml:space="preserve">Prominent Canadian lawyers or consultants with government connections</w:t>
      </w:r>
    </w:p>
    <w:p>
      <w:pPr>
        <w:pStyle w:val="ListParagraph"/>
        <w:numPr>
          <w:ilvl w:val="0"/>
          <w:numId w:val="2"/>
        </w:numPr>
        <w:spacing w:after="60" w:before="60"/>
      </w:pPr>
      <w:r>
        <w:rPr>
          <w:rFonts w:ascii="Calibri" w:cs="Calibri" w:eastAsia="Calibri" w:hAnsi="Calibri"/>
          <w:color w:val="333333"/>
          <w:sz w:val="22"/>
          <w:szCs w:val="22"/>
        </w:rPr>
        <w:t xml:space="preserve">Philanthropically active individuals already funding civic or education initiatives</w:t>
      </w:r>
    </w:p>
    <w:p>
      <w:pPr>
        <w:spacing w:after="0" w:before="160"/>
      </w:pPr>
      <w:r>
        <w:rPr>
          <w:rFonts w:ascii="Calibri" w:cs="Calibri" w:eastAsia="Calibri" w:hAnsi="Calibri"/>
          <w:b/>
          <w:bCs/>
          <w:color w:val="C0392B"/>
          <w:sz w:val="22"/>
          <w:szCs w:val="22"/>
        </w:rPr>
        <w:t xml:space="preserve">Why they say yes:</w:t>
      </w:r>
    </w:p>
    <w:p>
      <w:pPr>
        <w:pStyle w:val="ListParagraph"/>
        <w:numPr>
          <w:ilvl w:val="0"/>
          <w:numId w:val="2"/>
        </w:numPr>
        <w:spacing w:after="60" w:before="60"/>
      </w:pPr>
      <w:r>
        <w:rPr>
          <w:rFonts w:ascii="Calibri" w:cs="Calibri" w:eastAsia="Calibri" w:hAnsi="Calibri"/>
          <w:color w:val="333333"/>
          <w:sz w:val="22"/>
          <w:szCs w:val="22"/>
        </w:rPr>
        <w:t xml:space="preserve">HillWatch fills a gap they personally feel. the absence of civic clarity in Canada</w:t>
      </w:r>
    </w:p>
    <w:p>
      <w:pPr>
        <w:pStyle w:val="ListParagraph"/>
        <w:numPr>
          <w:ilvl w:val="0"/>
          <w:numId w:val="2"/>
        </w:numPr>
        <w:spacing w:after="60" w:before="60"/>
      </w:pPr>
      <w:r>
        <w:rPr>
          <w:rFonts w:ascii="Calibri" w:cs="Calibri" w:eastAsia="Calibri" w:hAnsi="Calibri"/>
          <w:color w:val="333333"/>
          <w:sz w:val="22"/>
          <w:szCs w:val="22"/>
        </w:rPr>
        <w:t xml:space="preserve">The association is prestigious, not extractive</w:t>
      </w:r>
    </w:p>
    <w:p>
      <w:pPr>
        <w:pStyle w:val="ListParagraph"/>
        <w:numPr>
          <w:ilvl w:val="0"/>
          <w:numId w:val="2"/>
        </w:numPr>
        <w:spacing w:after="60" w:before="60"/>
      </w:pPr>
      <w:r>
        <w:rPr>
          <w:rFonts w:ascii="Calibri" w:cs="Calibri" w:eastAsia="Calibri" w:hAnsi="Calibri"/>
          <w:color w:val="333333"/>
          <w:sz w:val="22"/>
          <w:szCs w:val="22"/>
        </w:rPr>
        <w:t xml:space="preserve">The downside is capped; the upside is generational</w:t>
      </w:r>
    </w:p>
    <w:p>
      <w:pPr>
        <w:pStyle w:val="ListParagraph"/>
        <w:numPr>
          <w:ilvl w:val="0"/>
          <w:numId w:val="2"/>
        </w:numPr>
        <w:spacing w:after="60" w:before="60"/>
      </w:pPr>
      <w:r>
        <w:rPr>
          <w:rFonts w:ascii="Calibri" w:cs="Calibri" w:eastAsia="Calibri" w:hAnsi="Calibri"/>
          <w:color w:val="333333"/>
          <w:sz w:val="22"/>
          <w:szCs w:val="22"/>
        </w:rPr>
        <w:t xml:space="preserve">It makes Canada smarter and more civically engaged. a legacy they can put their name on</w:t>
      </w:r>
    </w:p>
    <w:p>
      <w:pPr>
        <w:spacing w:after="0" w:before="200"/>
      </w:pPr>
    </w:p>
    <w:p>
      <w:pPr>
        <w:spacing w:after="100" w:before="240"/>
      </w:pPr>
      <w:r>
        <w:rPr>
          <w:rFonts w:ascii="Calibri" w:cs="Calibri" w:eastAsia="Calibri" w:hAnsi="Calibri"/>
          <w:b/>
          <w:bCs/>
          <w:color w:val="1C1C1E"/>
          <w:sz w:val="24"/>
          <w:szCs w:val="24"/>
        </w:rPr>
        <w:t xml:space="preserve">Tier 2: Canadian Foundations and Civic Organizations</w:t>
      </w:r>
    </w:p>
    <w:p>
      <w:pPr>
        <w:spacing w:after="120" w:before="80"/>
      </w:pPr>
      <w:r>
        <w:rPr>
          <w:rFonts w:ascii="Calibri" w:cs="Calibri" w:eastAsia="Calibri" w:hAnsi="Calibri"/>
          <w:color w:val="333333"/>
          <w:sz w:val="22"/>
          <w:szCs w:val="22"/>
        </w:rPr>
        <w:t xml:space="preserve">Several Canadian foundations exist specifically to strengthen democratic participation, civic education, and media literacy. These organizations have mandates that align perfectly with what HillWatch does.</w:t>
      </w:r>
    </w:p>
    <w:p>
      <w:pPr>
        <w:pStyle w:val="ListParagraph"/>
        <w:numPr>
          <w:ilvl w:val="0"/>
          <w:numId w:val="2"/>
        </w:numPr>
        <w:spacing w:after="60" w:before="60"/>
      </w:pPr>
      <w:r>
        <w:rPr>
          <w:rFonts w:ascii="Calibri" w:cs="Calibri" w:eastAsia="Calibri" w:hAnsi="Calibri"/>
          <w:color w:val="333333"/>
          <w:sz w:val="22"/>
          <w:szCs w:val="22"/>
        </w:rPr>
        <w:t xml:space="preserve">McConnell Foundation. civic engagement, community resilience, media literacy</w:t>
      </w:r>
    </w:p>
    <w:p>
      <w:pPr>
        <w:pStyle w:val="ListParagraph"/>
        <w:numPr>
          <w:ilvl w:val="0"/>
          <w:numId w:val="2"/>
        </w:numPr>
        <w:spacing w:after="60" w:before="60"/>
      </w:pPr>
      <w:r>
        <w:rPr>
          <w:rFonts w:ascii="Calibri" w:cs="Calibri" w:eastAsia="Calibri" w:hAnsi="Calibri"/>
          <w:color w:val="333333"/>
          <w:sz w:val="22"/>
          <w:szCs w:val="22"/>
        </w:rPr>
        <w:t xml:space="preserve">Inspirit Foundation. democratic participation and equity in civic life</w:t>
      </w:r>
    </w:p>
    <w:p>
      <w:pPr>
        <w:pStyle w:val="ListParagraph"/>
        <w:numPr>
          <w:ilvl w:val="0"/>
          <w:numId w:val="2"/>
        </w:numPr>
        <w:spacing w:after="60" w:before="60"/>
      </w:pPr>
      <w:r>
        <w:rPr>
          <w:rFonts w:ascii="Calibri" w:cs="Calibri" w:eastAsia="Calibri" w:hAnsi="Calibri"/>
          <w:color w:val="333333"/>
          <w:sz w:val="22"/>
          <w:szCs w:val="22"/>
        </w:rPr>
        <w:t xml:space="preserve">Metcalf Foundation. public policy, civic engagement in Ontario</w:t>
      </w:r>
    </w:p>
    <w:p>
      <w:pPr>
        <w:pStyle w:val="ListParagraph"/>
        <w:numPr>
          <w:ilvl w:val="0"/>
          <w:numId w:val="2"/>
        </w:numPr>
        <w:spacing w:after="60" w:before="60"/>
      </w:pPr>
      <w:r>
        <w:rPr>
          <w:rFonts w:ascii="Calibri" w:cs="Calibri" w:eastAsia="Calibri" w:hAnsi="Calibri"/>
          <w:color w:val="333333"/>
          <w:sz w:val="22"/>
          <w:szCs w:val="22"/>
        </w:rPr>
        <w:t xml:space="preserve">Laidlaw Foundation. youth civic participation</w:t>
      </w:r>
    </w:p>
    <w:p>
      <w:pPr>
        <w:pStyle w:val="ListParagraph"/>
        <w:numPr>
          <w:ilvl w:val="0"/>
          <w:numId w:val="2"/>
        </w:numPr>
        <w:spacing w:after="60" w:before="60"/>
      </w:pPr>
      <w:r>
        <w:rPr>
          <w:rFonts w:ascii="Calibri" w:cs="Calibri" w:eastAsia="Calibri" w:hAnsi="Calibri"/>
          <w:color w:val="333333"/>
          <w:sz w:val="22"/>
          <w:szCs w:val="22"/>
        </w:rPr>
        <w:t xml:space="preserve">The Walter and Duncan Gordon Foundation. Canadian civic identity</w:t>
      </w:r>
    </w:p>
    <w:p>
      <w:pPr>
        <w:spacing w:after="0" w:before="160"/>
      </w:pPr>
      <w:r>
        <w:rPr>
          <w:rFonts w:ascii="Calibri" w:cs="Calibri" w:eastAsia="Calibri" w:hAnsi="Calibri"/>
          <w:b/>
          <w:bCs/>
          <w:color w:val="C0392B"/>
          <w:sz w:val="22"/>
          <w:szCs w:val="22"/>
        </w:rPr>
        <w:t xml:space="preserve">Approach:</w:t>
      </w:r>
    </w:p>
    <w:p>
      <w:pPr>
        <w:spacing w:after="120" w:before="80"/>
      </w:pPr>
      <w:r>
        <w:rPr>
          <w:rFonts w:ascii="Calibri" w:cs="Calibri" w:eastAsia="Calibri" w:hAnsi="Calibri"/>
          <w:color w:val="333333"/>
          <w:sz w:val="22"/>
          <w:szCs w:val="22"/>
        </w:rPr>
        <w:t xml:space="preserve">Foundations typically grant rather than invest, which means no equity dilution but also a cap on capital. The play here is to use foundation grants to fund the editorial and operations layer while a separate equity investor funds the technology build. These two capital sources are not mutually exclusive.</w:t>
      </w:r>
    </w:p>
    <w:p>
      <w:pPr>
        <w:spacing w:after="0" w:before="200"/>
      </w:pPr>
    </w:p>
    <w:p>
      <w:pPr>
        <w:spacing w:after="100" w:before="240"/>
      </w:pPr>
      <w:r>
        <w:rPr>
          <w:rFonts w:ascii="Calibri" w:cs="Calibri" w:eastAsia="Calibri" w:hAnsi="Calibri"/>
          <w:b/>
          <w:bCs/>
          <w:color w:val="1C1C1E"/>
          <w:sz w:val="24"/>
          <w:szCs w:val="24"/>
        </w:rPr>
        <w:t xml:space="preserve">Tier 3: Strategic Corporate Partners</w:t>
      </w:r>
    </w:p>
    <w:p>
      <w:pPr>
        <w:spacing w:after="120" w:before="80"/>
      </w:pPr>
      <w:r>
        <w:rPr>
          <w:rFonts w:ascii="Calibri" w:cs="Calibri" w:eastAsia="Calibri" w:hAnsi="Calibri"/>
          <w:color w:val="333333"/>
          <w:sz w:val="22"/>
          <w:szCs w:val="22"/>
        </w:rPr>
        <w:t xml:space="preserve">Canadian corporations with a genuine civic mandate or a regulatory reason to want Canadians better informed about policy could be compelling strategic investors.</w:t>
      </w:r>
    </w:p>
    <w:p>
      <w:pPr>
        <w:pStyle w:val="ListParagraph"/>
        <w:numPr>
          <w:ilvl w:val="0"/>
          <w:numId w:val="2"/>
        </w:numPr>
        <w:spacing w:after="60" w:before="60"/>
      </w:pPr>
      <w:r>
        <w:rPr>
          <w:rFonts w:ascii="Calibri" w:cs="Calibri" w:eastAsia="Calibri" w:hAnsi="Calibri"/>
          <w:color w:val="333333"/>
          <w:sz w:val="22"/>
          <w:szCs w:val="22"/>
        </w:rPr>
        <w:t xml:space="preserve">Canadian media companies (Bell, Postmedia, CBC partnerships. not competitors, potential distribution)</w:t>
      </w:r>
    </w:p>
    <w:p>
      <w:pPr>
        <w:pStyle w:val="ListParagraph"/>
        <w:numPr>
          <w:ilvl w:val="0"/>
          <w:numId w:val="2"/>
        </w:numPr>
        <w:spacing w:after="60" w:before="60"/>
      </w:pPr>
      <w:r>
        <w:rPr>
          <w:rFonts w:ascii="Calibri" w:cs="Calibri" w:eastAsia="Calibri" w:hAnsi="Calibri"/>
          <w:color w:val="333333"/>
          <w:sz w:val="22"/>
          <w:szCs w:val="22"/>
        </w:rPr>
        <w:t xml:space="preserve">Financial institutions with civic education mandates (credit unions, some chartered banks)</w:t>
      </w:r>
    </w:p>
    <w:p>
      <w:pPr>
        <w:pStyle w:val="ListParagraph"/>
        <w:numPr>
          <w:ilvl w:val="0"/>
          <w:numId w:val="2"/>
        </w:numPr>
        <w:spacing w:after="60" w:before="60"/>
      </w:pPr>
      <w:r>
        <w:rPr>
          <w:rFonts w:ascii="Calibri" w:cs="Calibri" w:eastAsia="Calibri" w:hAnsi="Calibri"/>
          <w:color w:val="333333"/>
          <w:sz w:val="22"/>
          <w:szCs w:val="22"/>
        </w:rPr>
        <w:t xml:space="preserve">Technology companies wanting Canadian civic credibility (Shopify, OpenText)</w:t>
      </w:r>
    </w:p>
    <w:p>
      <w:pPr>
        <w:pStyle w:val="ListParagraph"/>
        <w:numPr>
          <w:ilvl w:val="0"/>
          <w:numId w:val="2"/>
        </w:numPr>
        <w:spacing w:after="60" w:before="60"/>
      </w:pPr>
      <w:r>
        <w:rPr>
          <w:rFonts w:ascii="Calibri" w:cs="Calibri" w:eastAsia="Calibri" w:hAnsi="Calibri"/>
          <w:color w:val="333333"/>
          <w:sz w:val="22"/>
          <w:szCs w:val="22"/>
        </w:rPr>
        <w:t xml:space="preserve">Telecommunications companies required to invest in Canadian content</w:t>
      </w:r>
    </w:p>
    <w:p>
      <w:pPr>
        <w:spacing w:after="0" w:before="160"/>
      </w:pPr>
      <w:r>
        <w:rPr>
          <w:rFonts w:ascii="Calibri" w:cs="Calibri" w:eastAsia="Calibri" w:hAnsi="Calibri"/>
          <w:b/>
          <w:bCs/>
          <w:color w:val="C0392B"/>
          <w:sz w:val="22"/>
          <w:szCs w:val="22"/>
        </w:rPr>
        <w:t xml:space="preserve">The strategic angle:</w:t>
      </w:r>
    </w:p>
    <w:p>
      <w:pPr>
        <w:spacing w:after="120" w:before="80"/>
      </w:pPr>
      <w:r>
        <w:rPr>
          <w:rFonts w:ascii="Calibri" w:cs="Calibri" w:eastAsia="Calibri" w:hAnsi="Calibri"/>
          <w:color w:val="333333"/>
          <w:sz w:val="22"/>
          <w:szCs w:val="22"/>
        </w:rPr>
        <w:t xml:space="preserve">A Canadian telecom or media company pre-installing HillWatch on Canadian devices. or bundling it with a service. would achieve national distribution without any paid acquisition cost. This is the partnership worth pursuing in parallel with equity funding.</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The Funding Ask. Three Scenarios</w:t>
      </w:r>
    </w:p>
    <w:p>
      <w:pPr>
        <w:spacing w:after="20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580"/>
        <w:gridCol w:w="2580"/>
      </w:tblGrid>
      <w:tr>
        <w:trPr>
          <w:tblHeader/>
        </w:trPr>
        <w:tc>
          <w:tcPr>
            <w:tcW w:type="dxa" w:w="18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Scenario</w:t>
            </w:r>
          </w:p>
        </w:tc>
        <w:tc>
          <w:tcPr>
            <w:tcW w:type="dxa" w:w="24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Capital Required</w:t>
            </w:r>
          </w:p>
        </w:tc>
        <w:tc>
          <w:tcPr>
            <w:tcW w:type="dxa" w:w="25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What Gets Built</w:t>
            </w:r>
          </w:p>
        </w:tc>
        <w:tc>
          <w:tcPr>
            <w:tcW w:type="dxa" w:w="25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Partner Gets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Bootstrap</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$150K-$300K CAD</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Editorial ops, web platform, enterprise sales, 500 beta users</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25-35% equity + first right of refusal on app build</w:t>
            </w:r>
          </w:p>
        </w:tc>
      </w:tr>
      <w:tr>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Full MVP</w:t>
            </w:r>
          </w:p>
        </w:tc>
        <w:tc>
          <w:tcPr>
            <w:tcW w:type="dxa" w:w="24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$500K-$900K CAD</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iOS + Android app, 6 provinces, live sentiment, enterprise dashboard</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20-30% equity + board seat + named civic partner status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Full Platform</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$1M-$1.5M CAD</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All 10 provinces, full sentiment data layer, API, national launch</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15-25% equity + strategic rights + civic legacy partnership</w:t>
            </w:r>
          </w:p>
        </w:tc>
      </w:tr>
    </w:tbl>
    <w:p>
      <w:r>
        <w:br w:type="page"/>
      </w:r>
    </w:p>
    <w:p>
      <w:pPr>
        <w:pStyle w:val="Heading1"/>
        <w:spacing w:after="200" w:before="480"/>
      </w:pPr>
      <w:r>
        <w:rPr>
          <w:rFonts w:ascii="Calibri" w:cs="Calibri" w:eastAsia="Calibri" w:hAnsi="Calibri"/>
          <w:b/>
          <w:bCs/>
          <w:color w:val="1C1C1E"/>
          <w:sz w:val="40"/>
          <w:szCs w:val="40"/>
        </w:rPr>
        <w:t xml:space="preserve">Part 2: HillWatch in Canadian Schools</w:t>
      </w:r>
    </w:p>
    <w:p>
      <w:pPr>
        <w:pBdr>
          <w:left w:val="single" w:color="C0392B" w:sz="12" w:space="12"/>
        </w:pBdr>
        <w:spacing w:after="160" w:before="160"/>
        <w:ind w:left="360"/>
      </w:pPr>
      <w:r>
        <w:rPr>
          <w:rFonts w:ascii="Calibri" w:cs="Calibri" w:eastAsia="Calibri" w:hAnsi="Calibri"/>
          <w:b/>
          <w:bCs/>
          <w:i/>
          <w:iCs/>
          <w:color w:val="1C1C1E"/>
          <w:sz w:val="22"/>
          <w:szCs w:val="22"/>
        </w:rPr>
        <w:t xml:space="preserve">Make civic intelligence mandatory. Embed HillWatch in the secondary school civics curriculum across Canada. so every student graduates knowing how to understand what their government is doing.</w:t>
      </w:r>
    </w:p>
    <w:p>
      <w:pPr>
        <w:spacing w:after="120" w:before="80"/>
      </w:pPr>
      <w:r>
        <w:rPr>
          <w:rFonts w:ascii="Calibri" w:cs="Calibri" w:eastAsia="Calibri" w:hAnsi="Calibri"/>
          <w:color w:val="333333"/>
          <w:sz w:val="22"/>
          <w:szCs w:val="22"/>
        </w:rPr>
        <w:t xml:space="preserve">This is not a marketing play. It is a civic infrastructure play. If HillWatch becomes a required tool in Grade 10 or Grade 11 Civics. the course that already exists in Ontario, BC, and other provinces. every secondary school student in Canada downloads the app and uses it as part of their education. That is approximately 500,000 new students per year.</w:t>
      </w:r>
    </w:p>
    <w:p>
      <w:pPr>
        <w:spacing w:after="120" w:before="80"/>
      </w:pPr>
      <w:r>
        <w:rPr>
          <w:rFonts w:ascii="Calibri" w:cs="Calibri" w:eastAsia="Calibri" w:hAnsi="Calibri"/>
          <w:color w:val="333333"/>
          <w:sz w:val="22"/>
          <w:szCs w:val="22"/>
        </w:rPr>
        <w:t xml:space="preserve">Over five years, that is 2.5 million Canadians who learned to engage with their democracy through HillWatch. That is a generational install base, built through education rather than advertising.</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The Curriculum Opportunity</w:t>
      </w:r>
    </w:p>
    <w:p>
      <w:pPr>
        <w:spacing w:after="100" w:before="240"/>
      </w:pPr>
      <w:r>
        <w:rPr>
          <w:rFonts w:ascii="Calibri" w:cs="Calibri" w:eastAsia="Calibri" w:hAnsi="Calibri"/>
          <w:b/>
          <w:bCs/>
          <w:color w:val="1C1C1E"/>
          <w:sz w:val="24"/>
          <w:szCs w:val="24"/>
        </w:rPr>
        <w:t xml:space="preserve">Civics Already Exists</w:t>
      </w:r>
    </w:p>
    <w:p>
      <w:pPr>
        <w:spacing w:after="120" w:before="80"/>
      </w:pPr>
      <w:r>
        <w:rPr>
          <w:rFonts w:ascii="Calibri" w:cs="Calibri" w:eastAsia="Calibri" w:hAnsi="Calibri"/>
          <w:color w:val="333333"/>
          <w:sz w:val="22"/>
          <w:szCs w:val="22"/>
        </w:rPr>
        <w:t xml:space="preserve">Every Canadian province has some form of civic education in its secondary school curriculum. The course exists. The intent exists. What is missing is a tool that makes it real, current, and engaging.</w:t>
      </w:r>
    </w:p>
    <w:p>
      <w:pPr>
        <w:pStyle w:val="ListParagraph"/>
        <w:numPr>
          <w:ilvl w:val="0"/>
          <w:numId w:val="2"/>
        </w:numPr>
        <w:spacing w:after="60" w:before="60"/>
      </w:pPr>
      <w:r>
        <w:rPr>
          <w:rFonts w:ascii="Calibri" w:cs="Calibri" w:eastAsia="Calibri" w:hAnsi="Calibri"/>
          <w:color w:val="333333"/>
          <w:sz w:val="22"/>
          <w:szCs w:val="22"/>
        </w:rPr>
        <w:t xml:space="preserve">Ontario: Grade 10 Civics and Citizenship (CHV2O). mandatory half-credit course</w:t>
      </w:r>
    </w:p>
    <w:p>
      <w:pPr>
        <w:pStyle w:val="ListParagraph"/>
        <w:numPr>
          <w:ilvl w:val="0"/>
          <w:numId w:val="2"/>
        </w:numPr>
        <w:spacing w:after="60" w:before="60"/>
      </w:pPr>
      <w:r>
        <w:rPr>
          <w:rFonts w:ascii="Calibri" w:cs="Calibri" w:eastAsia="Calibri" w:hAnsi="Calibri"/>
          <w:color w:val="333333"/>
          <w:sz w:val="22"/>
          <w:szCs w:val="22"/>
        </w:rPr>
        <w:t xml:space="preserve">British Columbia: Social Studies 11 includes active citizenship and democratic participation</w:t>
      </w:r>
    </w:p>
    <w:p>
      <w:pPr>
        <w:pStyle w:val="ListParagraph"/>
        <w:numPr>
          <w:ilvl w:val="0"/>
          <w:numId w:val="2"/>
        </w:numPr>
        <w:spacing w:after="60" w:before="60"/>
      </w:pPr>
      <w:r>
        <w:rPr>
          <w:rFonts w:ascii="Calibri" w:cs="Calibri" w:eastAsia="Calibri" w:hAnsi="Calibri"/>
          <w:color w:val="333333"/>
          <w:sz w:val="22"/>
          <w:szCs w:val="22"/>
        </w:rPr>
        <w:t xml:space="preserve">Alberta: Social Studies 10 includes political participation and civic responsibility</w:t>
      </w:r>
    </w:p>
    <w:p>
      <w:pPr>
        <w:pStyle w:val="ListParagraph"/>
        <w:numPr>
          <w:ilvl w:val="0"/>
          <w:numId w:val="2"/>
        </w:numPr>
        <w:spacing w:after="60" w:before="60"/>
      </w:pPr>
      <w:r>
        <w:rPr>
          <w:rFonts w:ascii="Calibri" w:cs="Calibri" w:eastAsia="Calibri" w:hAnsi="Calibri"/>
          <w:color w:val="333333"/>
          <w:sz w:val="22"/>
          <w:szCs w:val="22"/>
        </w:rPr>
        <w:t xml:space="preserve">Quebec: Ethics and Religious Culture / Citizenship Education</w:t>
      </w:r>
    </w:p>
    <w:p>
      <w:pPr>
        <w:pStyle w:val="ListParagraph"/>
        <w:numPr>
          <w:ilvl w:val="0"/>
          <w:numId w:val="2"/>
        </w:numPr>
        <w:spacing w:after="60" w:before="60"/>
      </w:pPr>
      <w:r>
        <w:rPr>
          <w:rFonts w:ascii="Calibri" w:cs="Calibri" w:eastAsia="Calibri" w:hAnsi="Calibri"/>
          <w:color w:val="333333"/>
          <w:sz w:val="22"/>
          <w:szCs w:val="22"/>
        </w:rPr>
        <w:t xml:space="preserve">All other provinces have some equivalent civic education requirement</w:t>
      </w:r>
    </w:p>
    <w:p>
      <w:pPr>
        <w:spacing w:after="0" w:before="160"/>
      </w:pPr>
      <w:r>
        <w:rPr>
          <w:rFonts w:ascii="Calibri" w:cs="Calibri" w:eastAsia="Calibri" w:hAnsi="Calibri"/>
          <w:b/>
          <w:bCs/>
          <w:color w:val="C0392B"/>
          <w:sz w:val="22"/>
          <w:szCs w:val="22"/>
        </w:rPr>
        <w:t xml:space="preserve">The problem with current civics education:</w:t>
      </w:r>
    </w:p>
    <w:p>
      <w:pPr>
        <w:pStyle w:val="ListParagraph"/>
        <w:numPr>
          <w:ilvl w:val="0"/>
          <w:numId w:val="2"/>
        </w:numPr>
        <w:spacing w:after="60" w:before="60"/>
      </w:pPr>
      <w:r>
        <w:rPr>
          <w:rFonts w:ascii="Calibri" w:cs="Calibri" w:eastAsia="Calibri" w:hAnsi="Calibri"/>
          <w:color w:val="333333"/>
          <w:sz w:val="22"/>
          <w:szCs w:val="22"/>
        </w:rPr>
        <w:t xml:space="preserve">It teaches theory, not practice. students learn what government is but not how to follow it</w:t>
      </w:r>
    </w:p>
    <w:p>
      <w:pPr>
        <w:pStyle w:val="ListParagraph"/>
        <w:numPr>
          <w:ilvl w:val="0"/>
          <w:numId w:val="2"/>
        </w:numPr>
        <w:spacing w:after="60" w:before="60"/>
      </w:pPr>
      <w:r>
        <w:rPr>
          <w:rFonts w:ascii="Calibri" w:cs="Calibri" w:eastAsia="Calibri" w:hAnsi="Calibri"/>
          <w:color w:val="333333"/>
          <w:sz w:val="22"/>
          <w:szCs w:val="22"/>
        </w:rPr>
        <w:t xml:space="preserve">Content is static. textbooks describe systems that were current when printed</w:t>
      </w:r>
    </w:p>
    <w:p>
      <w:pPr>
        <w:pStyle w:val="ListParagraph"/>
        <w:numPr>
          <w:ilvl w:val="0"/>
          <w:numId w:val="2"/>
        </w:numPr>
        <w:spacing w:after="60" w:before="60"/>
      </w:pPr>
      <w:r>
        <w:rPr>
          <w:rFonts w:ascii="Calibri" w:cs="Calibri" w:eastAsia="Calibri" w:hAnsi="Calibri"/>
          <w:color w:val="333333"/>
          <w:sz w:val="22"/>
          <w:szCs w:val="22"/>
        </w:rPr>
        <w:t xml:space="preserve">There is no tool that connects classroom learning to what is actually happening in Parliament this week</w:t>
      </w:r>
    </w:p>
    <w:p>
      <w:pPr>
        <w:pStyle w:val="ListParagraph"/>
        <w:numPr>
          <w:ilvl w:val="0"/>
          <w:numId w:val="2"/>
        </w:numPr>
        <w:spacing w:after="60" w:before="60"/>
      </w:pPr>
      <w:r>
        <w:rPr>
          <w:rFonts w:ascii="Calibri" w:cs="Calibri" w:eastAsia="Calibri" w:hAnsi="Calibri"/>
          <w:color w:val="333333"/>
          <w:sz w:val="22"/>
          <w:szCs w:val="22"/>
        </w:rPr>
        <w:t xml:space="preserve">Students graduate civics without ever having read a real bill or formed an opinion on active legislation</w:t>
      </w:r>
    </w:p>
    <w:p>
      <w:pPr>
        <w:spacing w:after="0" w:before="160"/>
      </w:pPr>
      <w:r>
        <w:rPr>
          <w:rFonts w:ascii="Calibri" w:cs="Calibri" w:eastAsia="Calibri" w:hAnsi="Calibri"/>
          <w:b/>
          <w:bCs/>
          <w:color w:val="C0392B"/>
          <w:sz w:val="22"/>
          <w:szCs w:val="22"/>
        </w:rPr>
        <w:t xml:space="preserve">What HillWatch fixes:</w:t>
      </w:r>
    </w:p>
    <w:p>
      <w:pPr>
        <w:pStyle w:val="ListParagraph"/>
        <w:numPr>
          <w:ilvl w:val="0"/>
          <w:numId w:val="2"/>
        </w:numPr>
        <w:spacing w:after="60" w:before="60"/>
      </w:pPr>
      <w:r>
        <w:rPr>
          <w:rFonts w:ascii="Calibri" w:cs="Calibri" w:eastAsia="Calibri" w:hAnsi="Calibri"/>
          <w:color w:val="333333"/>
          <w:sz w:val="22"/>
          <w:szCs w:val="22"/>
        </w:rPr>
        <w:t xml:space="preserve">Real bills, in plain language, right now. not hypothetical examples from a textbook</w:t>
      </w:r>
    </w:p>
    <w:p>
      <w:pPr>
        <w:pStyle w:val="ListParagraph"/>
        <w:numPr>
          <w:ilvl w:val="0"/>
          <w:numId w:val="2"/>
        </w:numPr>
        <w:spacing w:after="60" w:before="60"/>
      </w:pPr>
      <w:r>
        <w:rPr>
          <w:rFonts w:ascii="Calibri" w:cs="Calibri" w:eastAsia="Calibri" w:hAnsi="Calibri"/>
          <w:color w:val="333333"/>
          <w:sz w:val="22"/>
          <w:szCs w:val="22"/>
        </w:rPr>
        <w:t xml:space="preserve">Students vote on legislation and see how their opinion compares to the rest of Canada</w:t>
      </w:r>
    </w:p>
    <w:p>
      <w:pPr>
        <w:pStyle w:val="ListParagraph"/>
        <w:numPr>
          <w:ilvl w:val="0"/>
          <w:numId w:val="2"/>
        </w:numPr>
        <w:spacing w:after="60" w:before="60"/>
      </w:pPr>
      <w:r>
        <w:rPr>
          <w:rFonts w:ascii="Calibri" w:cs="Calibri" w:eastAsia="Calibri" w:hAnsi="Calibri"/>
          <w:color w:val="333333"/>
          <w:sz w:val="22"/>
          <w:szCs w:val="22"/>
        </w:rPr>
        <w:t xml:space="preserve">Provincial legislation included. students see what their own provincial government is doing</w:t>
      </w:r>
    </w:p>
    <w:p>
      <w:pPr>
        <w:pStyle w:val="ListParagraph"/>
        <w:numPr>
          <w:ilvl w:val="0"/>
          <w:numId w:val="2"/>
        </w:numPr>
        <w:spacing w:after="60" w:before="60"/>
      </w:pPr>
      <w:r>
        <w:rPr>
          <w:rFonts w:ascii="Calibri" w:cs="Calibri" w:eastAsia="Calibri" w:hAnsi="Calibri"/>
          <w:color w:val="333333"/>
          <w:sz w:val="22"/>
          <w:szCs w:val="22"/>
        </w:rPr>
        <w:t xml:space="preserve">Non-partisan by design. the tool teaches critical thinking, not political ideology</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The Strategy. Province by Province</w:t>
      </w:r>
    </w:p>
    <w:p>
      <w:pPr>
        <w:spacing w:after="100" w:before="240"/>
      </w:pPr>
      <w:r>
        <w:rPr>
          <w:rFonts w:ascii="Calibri" w:cs="Calibri" w:eastAsia="Calibri" w:hAnsi="Calibri"/>
          <w:b/>
          <w:bCs/>
          <w:color w:val="1C1C1E"/>
          <w:sz w:val="24"/>
          <w:szCs w:val="24"/>
        </w:rPr>
        <w:t xml:space="preserve">Step 1: Ontario First (Months 1-12)</w:t>
      </w:r>
    </w:p>
    <w:p>
      <w:pPr>
        <w:spacing w:after="120" w:before="80"/>
      </w:pPr>
      <w:r>
        <w:rPr>
          <w:rFonts w:ascii="Calibri" w:cs="Calibri" w:eastAsia="Calibri" w:hAnsi="Calibri"/>
          <w:color w:val="333333"/>
          <w:sz w:val="22"/>
          <w:szCs w:val="22"/>
        </w:rPr>
        <w:t xml:space="preserve">Ontario is the right province to start for three reasons: it has the largest student population, Grade 10 Civics is a mandatory provincial requirement, and the Ontario curriculum is set centrally by the Ministry of Education, making a single approval pathway possible.</w:t>
      </w:r>
    </w:p>
    <w:p>
      <w:pPr>
        <w:pStyle w:val="ListParagraph"/>
        <w:numPr>
          <w:ilvl w:val="0"/>
          <w:numId w:val="2"/>
        </w:numPr>
        <w:spacing w:after="60" w:before="60"/>
      </w:pPr>
      <w:r>
        <w:rPr>
          <w:rFonts w:ascii="Calibri" w:cs="Calibri" w:eastAsia="Calibri" w:hAnsi="Calibri"/>
          <w:color w:val="333333"/>
          <w:sz w:val="22"/>
          <w:szCs w:val="22"/>
        </w:rPr>
        <w:t xml:space="preserve">Target: Ontario Ministry of Education, Curriculum and Assessment Policy Branch</w:t>
      </w:r>
    </w:p>
    <w:p>
      <w:pPr>
        <w:pStyle w:val="ListParagraph"/>
        <w:numPr>
          <w:ilvl w:val="0"/>
          <w:numId w:val="2"/>
        </w:numPr>
        <w:spacing w:after="60" w:before="60"/>
      </w:pPr>
      <w:r>
        <w:rPr>
          <w:rFonts w:ascii="Calibri" w:cs="Calibri" w:eastAsia="Calibri" w:hAnsi="Calibri"/>
          <w:color w:val="333333"/>
          <w:sz w:val="22"/>
          <w:szCs w:val="22"/>
        </w:rPr>
        <w:t xml:space="preserve">Entry point: Pilot program with 5 to 10 school boards (Toronto DSB, Ottawa, Hamilton, Peel, York)</w:t>
      </w:r>
    </w:p>
    <w:p>
      <w:pPr>
        <w:pStyle w:val="ListParagraph"/>
        <w:numPr>
          <w:ilvl w:val="0"/>
          <w:numId w:val="2"/>
        </w:numPr>
        <w:spacing w:after="60" w:before="60"/>
      </w:pPr>
      <w:r>
        <w:rPr>
          <w:rFonts w:ascii="Calibri" w:cs="Calibri" w:eastAsia="Calibri" w:hAnsi="Calibri"/>
          <w:color w:val="333333"/>
          <w:sz w:val="22"/>
          <w:szCs w:val="22"/>
        </w:rPr>
        <w:t xml:space="preserve">Frame: HillWatch as a free supplementary digital resource for CHV2O. no cost to schools, no mandate required at first</w:t>
      </w:r>
    </w:p>
    <w:p>
      <w:pPr>
        <w:pStyle w:val="ListParagraph"/>
        <w:numPr>
          <w:ilvl w:val="0"/>
          <w:numId w:val="2"/>
        </w:numPr>
        <w:spacing w:after="60" w:before="60"/>
      </w:pPr>
      <w:r>
        <w:rPr>
          <w:rFonts w:ascii="Calibri" w:cs="Calibri" w:eastAsia="Calibri" w:hAnsi="Calibri"/>
          <w:color w:val="333333"/>
          <w:sz w:val="22"/>
          <w:szCs w:val="22"/>
        </w:rPr>
        <w:t xml:space="preserve">Evidence needed: Usage data from pilot schools, teacher feedback, student engagement metrics</w:t>
      </w:r>
    </w:p>
    <w:p>
      <w:pPr>
        <w:pStyle w:val="ListParagraph"/>
        <w:numPr>
          <w:ilvl w:val="0"/>
          <w:numId w:val="2"/>
        </w:numPr>
        <w:spacing w:after="60" w:before="60"/>
      </w:pPr>
      <w:r>
        <w:rPr>
          <w:rFonts w:ascii="Calibri" w:cs="Calibri" w:eastAsia="Calibri" w:hAnsi="Calibri"/>
          <w:color w:val="333333"/>
          <w:sz w:val="22"/>
          <w:szCs w:val="22"/>
        </w:rPr>
        <w:t xml:space="preserve">Goal by end of Year 1: 50+ schools actively using HillWatch in civics class</w:t>
      </w:r>
    </w:p>
    <w:p>
      <w:pPr>
        <w:spacing w:after="100" w:before="240"/>
      </w:pPr>
      <w:r>
        <w:rPr>
          <w:rFonts w:ascii="Calibri" w:cs="Calibri" w:eastAsia="Calibri" w:hAnsi="Calibri"/>
          <w:b/>
          <w:bCs/>
          <w:color w:val="1C1C1E"/>
          <w:sz w:val="24"/>
          <w:szCs w:val="24"/>
        </w:rPr>
        <w:t xml:space="preserve">Step 2: Ministerial Endorsement (Months 12-24)</w:t>
      </w:r>
    </w:p>
    <w:p>
      <w:pPr>
        <w:spacing w:after="120" w:before="80"/>
      </w:pPr>
      <w:r>
        <w:rPr>
          <w:rFonts w:ascii="Calibri" w:cs="Calibri" w:eastAsia="Calibri" w:hAnsi="Calibri"/>
          <w:color w:val="333333"/>
          <w:sz w:val="22"/>
          <w:szCs w:val="22"/>
        </w:rPr>
        <w:t xml:space="preserve">With pilot data from 50 schools in hand, approach the Ontario Ministry of Education with a formal proposal for HillWatch to be listed as a recommended digital resource for CHV2O. This is a lower bar than mandatory. it means HillWatch appears on the ministry's approved resource list, which teachers and school boards follow.</w:t>
      </w:r>
    </w:p>
    <w:p>
      <w:pPr>
        <w:pStyle w:val="ListParagraph"/>
        <w:numPr>
          <w:ilvl w:val="0"/>
          <w:numId w:val="2"/>
        </w:numPr>
        <w:spacing w:after="60" w:before="60"/>
      </w:pPr>
      <w:r>
        <w:rPr>
          <w:rFonts w:ascii="Calibri" w:cs="Calibri" w:eastAsia="Calibri" w:hAnsi="Calibri"/>
          <w:color w:val="333333"/>
          <w:sz w:val="22"/>
          <w:szCs w:val="22"/>
        </w:rPr>
        <w:t xml:space="preserve">Prepare a formal pedagogical report: learning outcomes, engagement data, teacher testimonials</w:t>
      </w:r>
    </w:p>
    <w:p>
      <w:pPr>
        <w:pStyle w:val="ListParagraph"/>
        <w:numPr>
          <w:ilvl w:val="0"/>
          <w:numId w:val="2"/>
        </w:numPr>
        <w:spacing w:after="60" w:before="60"/>
      </w:pPr>
      <w:r>
        <w:rPr>
          <w:rFonts w:ascii="Calibri" w:cs="Calibri" w:eastAsia="Calibri" w:hAnsi="Calibri"/>
          <w:color w:val="333333"/>
          <w:sz w:val="22"/>
          <w:szCs w:val="22"/>
        </w:rPr>
        <w:t xml:space="preserve">Commission an independent review from a Canadian education policy researcher</w:t>
      </w:r>
    </w:p>
    <w:p>
      <w:pPr>
        <w:pStyle w:val="ListParagraph"/>
        <w:numPr>
          <w:ilvl w:val="0"/>
          <w:numId w:val="2"/>
        </w:numPr>
        <w:spacing w:after="60" w:before="60"/>
      </w:pPr>
      <w:r>
        <w:rPr>
          <w:rFonts w:ascii="Calibri" w:cs="Calibri" w:eastAsia="Calibri" w:hAnsi="Calibri"/>
          <w:color w:val="333333"/>
          <w:sz w:val="22"/>
          <w:szCs w:val="22"/>
        </w:rPr>
        <w:t xml:space="preserve">Engage the Ontario Teachers Federation. teacher buy-in drives ministry decisions</w:t>
      </w:r>
    </w:p>
    <w:p>
      <w:pPr>
        <w:pStyle w:val="ListParagraph"/>
        <w:numPr>
          <w:ilvl w:val="0"/>
          <w:numId w:val="2"/>
        </w:numPr>
        <w:spacing w:after="60" w:before="60"/>
      </w:pPr>
      <w:r>
        <w:rPr>
          <w:rFonts w:ascii="Calibri" w:cs="Calibri" w:eastAsia="Calibri" w:hAnsi="Calibri"/>
          <w:color w:val="333333"/>
          <w:sz w:val="22"/>
          <w:szCs w:val="22"/>
        </w:rPr>
        <w:t xml:space="preserve">Secure endorsement from at least one school board trustee or superintendent</w:t>
      </w:r>
    </w:p>
    <w:p>
      <w:pPr>
        <w:spacing w:after="100" w:before="240"/>
      </w:pPr>
      <w:r>
        <w:rPr>
          <w:rFonts w:ascii="Calibri" w:cs="Calibri" w:eastAsia="Calibri" w:hAnsi="Calibri"/>
          <w:b/>
          <w:bCs/>
          <w:color w:val="1C1C1E"/>
          <w:sz w:val="24"/>
          <w:szCs w:val="24"/>
        </w:rPr>
        <w:t xml:space="preserve">Step 3: National Expansion (Months 24-48)</w:t>
      </w:r>
    </w:p>
    <w:p>
      <w:pPr>
        <w:spacing w:after="120" w:before="80"/>
      </w:pPr>
      <w:r>
        <w:rPr>
          <w:rFonts w:ascii="Calibri" w:cs="Calibri" w:eastAsia="Calibri" w:hAnsi="Calibri"/>
          <w:color w:val="333333"/>
          <w:sz w:val="22"/>
          <w:szCs w:val="22"/>
        </w:rPr>
        <w:t xml:space="preserve">Once Ontario endorses HillWatch as a civic education resource, approach other provinces with the Ontario precedent. Education is provincial jurisdiction in Canada. there is no single federal lever to pull. Each province must be approached individually, but an Ontario endorsement is the most powerful door-opener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580"/>
        <w:gridCol w:w="2580"/>
      </w:tblGrid>
      <w:tr>
        <w:trPr>
          <w:tblHeader/>
        </w:trPr>
        <w:tc>
          <w:tcPr>
            <w:tcW w:type="dxa" w:w="18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Phase</w:t>
            </w:r>
          </w:p>
        </w:tc>
        <w:tc>
          <w:tcPr>
            <w:tcW w:type="dxa" w:w="24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Timeline</w:t>
            </w:r>
          </w:p>
        </w:tc>
        <w:tc>
          <w:tcPr>
            <w:tcW w:type="dxa" w:w="25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Action</w:t>
            </w:r>
          </w:p>
        </w:tc>
        <w:tc>
          <w:tcPr>
            <w:tcW w:type="dxa" w:w="25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Outcome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Ontario</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1-12</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Pilot 10 school boards</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50+ schools actively using</w:t>
            </w:r>
          </w:p>
        </w:tc>
      </w:tr>
      <w:tr>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BC</w:t>
            </w:r>
          </w:p>
        </w:tc>
        <w:tc>
          <w:tcPr>
            <w:tcW w:type="dxa" w:w="24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12-24</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Partner with BC Teachers Federation</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Ministry resource listing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Alberta</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18-30</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Engage rural school boards directly</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Pilot with 15+ boards</w:t>
            </w:r>
          </w:p>
        </w:tc>
      </w:tr>
      <w:tr>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Quebec</w:t>
            </w:r>
          </w:p>
        </w:tc>
        <w:tc>
          <w:tcPr>
            <w:tcW w:type="dxa" w:w="24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24-36</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French language version required first</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Pilot with CSDM</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Atlantic</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30-42</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Bundle Atlantic provinces together</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Regional education body endorsement</w:t>
            </w:r>
          </w:p>
        </w:tc>
      </w:tr>
      <w:tr>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National</w:t>
            </w:r>
          </w:p>
        </w:tc>
        <w:tc>
          <w:tcPr>
            <w:tcW w:type="dxa" w:w="24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36-48</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Pan-Canadian education council approach</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All provinces listed resource</w:t>
            </w:r>
          </w:p>
        </w:tc>
      </w:tr>
    </w:tbl>
    <w:p>
      <w:pPr>
        <w:spacing w:after="0" w:before="200"/>
      </w:pP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The Mandatory Requirement Pathway</w:t>
      </w:r>
    </w:p>
    <w:p>
      <w:pPr>
        <w:spacing w:after="120" w:before="80"/>
      </w:pPr>
      <w:r>
        <w:rPr>
          <w:rFonts w:ascii="Calibri" w:cs="Calibri" w:eastAsia="Calibri" w:hAnsi="Calibri"/>
          <w:color w:val="333333"/>
          <w:sz w:val="22"/>
          <w:szCs w:val="22"/>
        </w:rPr>
        <w:t xml:space="preserve">Getting HillWatch onto a recommended resource list is achievable in 12 to 24 months. Getting it made mandatory requires a longer play. but it is achievable, and the pathway exists.</w:t>
      </w:r>
    </w:p>
    <w:p>
      <w:pPr>
        <w:pBdr>
          <w:left w:val="single" w:color="C0392B" w:sz="12" w:space="12"/>
        </w:pBdr>
        <w:spacing w:after="160" w:before="160"/>
        <w:ind w:left="360"/>
      </w:pPr>
      <w:r>
        <w:rPr>
          <w:rFonts w:ascii="Calibri" w:cs="Calibri" w:eastAsia="Calibri" w:hAnsi="Calibri"/>
          <w:b/>
          <w:bCs/>
          <w:i/>
          <w:iCs/>
          <w:color w:val="1C1C1E"/>
          <w:sz w:val="22"/>
          <w:szCs w:val="22"/>
        </w:rPr>
        <w:t xml:space="preserve">The goal is not to be the app students are forced to use. It is to be the app students want to use. and that teachers can't imagine teaching civics without.</w:t>
      </w:r>
    </w:p>
    <w:p>
      <w:pPr>
        <w:spacing w:after="100" w:before="240"/>
      </w:pPr>
      <w:r>
        <w:rPr>
          <w:rFonts w:ascii="Calibri" w:cs="Calibri" w:eastAsia="Calibri" w:hAnsi="Calibri"/>
          <w:b/>
          <w:bCs/>
          <w:color w:val="1C1C1E"/>
          <w:sz w:val="24"/>
          <w:szCs w:val="24"/>
        </w:rPr>
        <w:t xml:space="preserve">What Makes Something Mandatory in Canadian Schools</w:t>
      </w:r>
    </w:p>
    <w:p>
      <w:pPr>
        <w:spacing w:after="120" w:before="80"/>
      </w:pPr>
      <w:r>
        <w:rPr>
          <w:rFonts w:ascii="Calibri" w:cs="Calibri" w:eastAsia="Calibri" w:hAnsi="Calibri"/>
          <w:color w:val="333333"/>
          <w:sz w:val="22"/>
          <w:szCs w:val="22"/>
        </w:rPr>
        <w:t xml:space="preserve">Provincial curriculum mandates are set by Ministries of Education through a multi-year curriculum review process. They require: evidence of educational effectiveness, teacher and union support, accessibility compliance, privacy compliance (PIPEDA and provincial equivalents), and political will from the sitting government.</w:t>
      </w:r>
    </w:p>
    <w:p>
      <w:pPr>
        <w:spacing w:after="100" w:before="240"/>
      </w:pPr>
      <w:r>
        <w:rPr>
          <w:rFonts w:ascii="Calibri" w:cs="Calibri" w:eastAsia="Calibri" w:hAnsi="Calibri"/>
          <w:b/>
          <w:bCs/>
          <w:color w:val="1C1C1E"/>
          <w:sz w:val="24"/>
          <w:szCs w:val="24"/>
        </w:rPr>
        <w:t xml:space="preserve">The Fastest Path to Mandatory</w:t>
      </w:r>
    </w:p>
    <w:p>
      <w:pPr>
        <w:pStyle w:val="ListParagraph"/>
        <w:numPr>
          <w:ilvl w:val="0"/>
          <w:numId w:val="3"/>
        </w:numPr>
        <w:spacing w:after="60" w:before="60"/>
      </w:pPr>
      <w:r>
        <w:rPr>
          <w:rFonts w:ascii="Calibri" w:cs="Calibri" w:eastAsia="Calibri" w:hAnsi="Calibri"/>
          <w:color w:val="333333"/>
          <w:sz w:val="22"/>
          <w:szCs w:val="22"/>
        </w:rPr>
        <w:t xml:space="preserve">Prove it works. build the pilot data to show HillWatch measurably improves civic knowledge and engagement</w:t>
      </w:r>
    </w:p>
    <w:p>
      <w:pPr>
        <w:pStyle w:val="ListParagraph"/>
        <w:numPr>
          <w:ilvl w:val="0"/>
          <w:numId w:val="3"/>
        </w:numPr>
        <w:spacing w:after="60" w:before="60"/>
      </w:pPr>
      <w:r>
        <w:rPr>
          <w:rFonts w:ascii="Calibri" w:cs="Calibri" w:eastAsia="Calibri" w:hAnsi="Calibri"/>
          <w:color w:val="333333"/>
          <w:sz w:val="22"/>
          <w:szCs w:val="22"/>
        </w:rPr>
        <w:t xml:space="preserve">Get teachers on side. teachers are the most powerful advocacy channel in education policy</w:t>
      </w:r>
    </w:p>
    <w:p>
      <w:pPr>
        <w:pStyle w:val="ListParagraph"/>
        <w:numPr>
          <w:ilvl w:val="0"/>
          <w:numId w:val="3"/>
        </w:numPr>
        <w:spacing w:after="60" w:before="60"/>
      </w:pPr>
      <w:r>
        <w:rPr>
          <w:rFonts w:ascii="Calibri" w:cs="Calibri" w:eastAsia="Calibri" w:hAnsi="Calibri"/>
          <w:color w:val="333333"/>
          <w:sz w:val="22"/>
          <w:szCs w:val="22"/>
        </w:rPr>
        <w:t xml:space="preserve">Get students on side. student testimonials and authentic enthusiasm move politicians</w:t>
      </w:r>
    </w:p>
    <w:p>
      <w:pPr>
        <w:pStyle w:val="ListParagraph"/>
        <w:numPr>
          <w:ilvl w:val="0"/>
          <w:numId w:val="3"/>
        </w:numPr>
        <w:spacing w:after="60" w:before="60"/>
      </w:pPr>
      <w:r>
        <w:rPr>
          <w:rFonts w:ascii="Calibri" w:cs="Calibri" w:eastAsia="Calibri" w:hAnsi="Calibri"/>
          <w:color w:val="333333"/>
          <w:sz w:val="22"/>
          <w:szCs w:val="22"/>
        </w:rPr>
        <w:t xml:space="preserve">Find a government champion. one Minister of Education who sees this as their legacy initiative</w:t>
      </w:r>
    </w:p>
    <w:p>
      <w:pPr>
        <w:pStyle w:val="ListParagraph"/>
        <w:numPr>
          <w:ilvl w:val="0"/>
          <w:numId w:val="3"/>
        </w:numPr>
        <w:spacing w:after="60" w:before="60"/>
      </w:pPr>
      <w:r>
        <w:rPr>
          <w:rFonts w:ascii="Calibri" w:cs="Calibri" w:eastAsia="Calibri" w:hAnsi="Calibri"/>
          <w:color w:val="333333"/>
          <w:sz w:val="22"/>
          <w:szCs w:val="22"/>
        </w:rPr>
        <w:t xml:space="preserve">Frame it as infrastructure, not curriculum. a free civic tool, not a new course requirement</w:t>
      </w:r>
    </w:p>
    <w:p>
      <w:pPr>
        <w:spacing w:after="100" w:before="240"/>
      </w:pPr>
      <w:r>
        <w:rPr>
          <w:rFonts w:ascii="Calibri" w:cs="Calibri" w:eastAsia="Calibri" w:hAnsi="Calibri"/>
          <w:b/>
          <w:bCs/>
          <w:color w:val="1C1C1E"/>
          <w:sz w:val="24"/>
          <w:szCs w:val="24"/>
        </w:rPr>
        <w:t xml:space="preserve">The Privacy and Compliance Requirements</w:t>
      </w:r>
    </w:p>
    <w:p>
      <w:pPr>
        <w:spacing w:after="120" w:before="80"/>
      </w:pPr>
      <w:r>
        <w:rPr>
          <w:rFonts w:ascii="Calibri" w:cs="Calibri" w:eastAsia="Calibri" w:hAnsi="Calibri"/>
          <w:color w:val="333333"/>
          <w:sz w:val="22"/>
          <w:szCs w:val="22"/>
        </w:rPr>
        <w:t xml:space="preserve">For HillWatch to be used in schools, particularly with students under 18, several requirements must be met:</w:t>
      </w:r>
    </w:p>
    <w:p>
      <w:pPr>
        <w:pStyle w:val="ListParagraph"/>
        <w:numPr>
          <w:ilvl w:val="0"/>
          <w:numId w:val="2"/>
        </w:numPr>
        <w:spacing w:after="60" w:before="60"/>
      </w:pPr>
      <w:r>
        <w:rPr>
          <w:rFonts w:ascii="Calibri" w:cs="Calibri" w:eastAsia="Calibri" w:hAnsi="Calibri"/>
          <w:color w:val="333333"/>
          <w:sz w:val="22"/>
          <w:szCs w:val="22"/>
        </w:rPr>
        <w:t xml:space="preserve">PIPEDA compliance for all users, with enhanced protections for minors</w:t>
      </w:r>
    </w:p>
    <w:p>
      <w:pPr>
        <w:pStyle w:val="ListParagraph"/>
        <w:numPr>
          <w:ilvl w:val="0"/>
          <w:numId w:val="2"/>
        </w:numPr>
        <w:spacing w:after="60" w:before="60"/>
      </w:pPr>
      <w:r>
        <w:rPr>
          <w:rFonts w:ascii="Calibri" w:cs="Calibri" w:eastAsia="Calibri" w:hAnsi="Calibri"/>
          <w:color w:val="333333"/>
          <w:sz w:val="22"/>
          <w:szCs w:val="22"/>
        </w:rPr>
        <w:t xml:space="preserve">No advertising to anyone under 18, ever</w:t>
      </w:r>
    </w:p>
    <w:p>
      <w:pPr>
        <w:pStyle w:val="ListParagraph"/>
        <w:numPr>
          <w:ilvl w:val="0"/>
          <w:numId w:val="2"/>
        </w:numPr>
        <w:spacing w:after="60" w:before="60"/>
      </w:pPr>
      <w:r>
        <w:rPr>
          <w:rFonts w:ascii="Calibri" w:cs="Calibri" w:eastAsia="Calibri" w:hAnsi="Calibri"/>
          <w:color w:val="333333"/>
          <w:sz w:val="22"/>
          <w:szCs w:val="22"/>
        </w:rPr>
        <w:t xml:space="preserve">Data sovereignty. all Canadian student data must remain on Canadian servers</w:t>
      </w:r>
    </w:p>
    <w:p>
      <w:pPr>
        <w:pStyle w:val="ListParagraph"/>
        <w:numPr>
          <w:ilvl w:val="0"/>
          <w:numId w:val="2"/>
        </w:numPr>
        <w:spacing w:after="60" w:before="60"/>
      </w:pPr>
      <w:r>
        <w:rPr>
          <w:rFonts w:ascii="Calibri" w:cs="Calibri" w:eastAsia="Calibri" w:hAnsi="Calibri"/>
          <w:color w:val="333333"/>
          <w:sz w:val="22"/>
          <w:szCs w:val="22"/>
        </w:rPr>
        <w:t xml:space="preserve">Parental consent mechanism for users under 13</w:t>
      </w:r>
    </w:p>
    <w:p>
      <w:pPr>
        <w:pStyle w:val="ListParagraph"/>
        <w:numPr>
          <w:ilvl w:val="0"/>
          <w:numId w:val="2"/>
        </w:numPr>
        <w:spacing w:after="60" w:before="60"/>
      </w:pPr>
      <w:r>
        <w:rPr>
          <w:rFonts w:ascii="Calibri" w:cs="Calibri" w:eastAsia="Calibri" w:hAnsi="Calibri"/>
          <w:color w:val="333333"/>
          <w:sz w:val="22"/>
          <w:szCs w:val="22"/>
        </w:rPr>
        <w:t xml:space="preserve">Accessibility compliance. WCAG 2.1 AA for all school-facing features</w:t>
      </w:r>
    </w:p>
    <w:p>
      <w:pPr>
        <w:pStyle w:val="ListParagraph"/>
        <w:numPr>
          <w:ilvl w:val="0"/>
          <w:numId w:val="2"/>
        </w:numPr>
        <w:spacing w:after="60" w:before="60"/>
      </w:pPr>
      <w:r>
        <w:rPr>
          <w:rFonts w:ascii="Calibri" w:cs="Calibri" w:eastAsia="Calibri" w:hAnsi="Calibri"/>
          <w:color w:val="333333"/>
          <w:sz w:val="22"/>
          <w:szCs w:val="22"/>
        </w:rPr>
        <w:t xml:space="preserve">French language parity. full French version before any Quebec engagement</w:t>
      </w:r>
    </w:p>
    <w:p>
      <w:pPr>
        <w:pStyle w:val="ListParagraph"/>
        <w:numPr>
          <w:ilvl w:val="0"/>
          <w:numId w:val="2"/>
        </w:numPr>
        <w:spacing w:after="60" w:before="60"/>
      </w:pPr>
      <w:r>
        <w:rPr>
          <w:rFonts w:ascii="Calibri" w:cs="Calibri" w:eastAsia="Calibri" w:hAnsi="Calibri"/>
          <w:color w:val="333333"/>
          <w:sz w:val="22"/>
          <w:szCs w:val="22"/>
        </w:rPr>
        <w:t xml:space="preserve">School board data processing agreements. standard in all provinces</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The Curriculum Integration Model</w:t>
      </w:r>
    </w:p>
    <w:p>
      <w:pPr>
        <w:spacing w:after="120" w:before="80"/>
      </w:pPr>
      <w:r>
        <w:rPr>
          <w:rFonts w:ascii="Calibri" w:cs="Calibri" w:eastAsia="Calibri" w:hAnsi="Calibri"/>
          <w:color w:val="333333"/>
          <w:sz w:val="22"/>
          <w:szCs w:val="22"/>
        </w:rPr>
        <w:t xml:space="preserve">HillWatch is not asking schools to change their curriculum. It is asking to plug into what already exists. Here is what a HillWatch-integrated civics unit looks like in practice.</w:t>
      </w:r>
    </w:p>
    <w:p>
      <w:pPr>
        <w:spacing w:after="100" w:before="240"/>
      </w:pPr>
      <w:r>
        <w:rPr>
          <w:rFonts w:ascii="Calibri" w:cs="Calibri" w:eastAsia="Calibri" w:hAnsi="Calibri"/>
          <w:b/>
          <w:bCs/>
          <w:color w:val="1C1C1E"/>
          <w:sz w:val="24"/>
          <w:szCs w:val="24"/>
        </w:rPr>
        <w:t xml:space="preserve">Sample 2-Week Civics Unit Using HillWatch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3960"/>
        <w:gridCol w:w="3960"/>
      </w:tblGrid>
      <w:tr>
        <w:trPr>
          <w:tblHeader/>
        </w:trPr>
        <w:tc>
          <w:tcPr>
            <w:tcW w:type="dxa" w:w="144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Day</w:t>
            </w:r>
          </w:p>
        </w:tc>
        <w:tc>
          <w:tcPr>
            <w:tcW w:type="dxa" w:w="39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Activity</w:t>
            </w:r>
          </w:p>
        </w:tc>
        <w:tc>
          <w:tcPr>
            <w:tcW w:type="dxa" w:w="39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HillWatch Integration</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1-2</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Introduce: How does a bill become law?</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Students open HillWatch and find a live bill in first or second reading</w:t>
            </w:r>
          </w:p>
        </w:tc>
      </w:tr>
      <w:tr>
        <w:tc>
          <w:tcPr>
            <w:tcW w:type="dxa" w:w="144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3-4</w:t>
            </w:r>
          </w:p>
        </w:tc>
        <w:tc>
          <w:tcPr>
            <w:tcW w:type="dxa" w:w="396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Read the bill breakdown for a selected active bill</w:t>
            </w:r>
          </w:p>
        </w:tc>
        <w:tc>
          <w:tcPr>
            <w:tcW w:type="dxa" w:w="396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Students use HillWatch's plain-language summary. No legal jargon.</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5</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Vote: each student casts their reaction on the bill</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Students submit Support / Oppose / Unsure and see class results</w:t>
            </w:r>
          </w:p>
        </w:tc>
      </w:tr>
      <w:tr>
        <w:tc>
          <w:tcPr>
            <w:tcW w:type="dxa" w:w="144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6-7</w:t>
            </w:r>
          </w:p>
        </w:tc>
        <w:tc>
          <w:tcPr>
            <w:tcW w:type="dxa" w:w="396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Compare: class results vs national sentiment</w:t>
            </w:r>
          </w:p>
        </w:tc>
        <w:tc>
          <w:tcPr>
            <w:tcW w:type="dxa" w:w="396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Live HillWatch data shows how their class compares to all of Canada</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8-9</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Provincial comparison: how does your province lean?</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Students explore provincial sentiment breakdown. why does Alberta differ from Ontario?</w:t>
            </w:r>
          </w:p>
        </w:tc>
      </w:tr>
      <w:tr>
        <w:tc>
          <w:tcPr>
            <w:tcW w:type="dxa" w:w="144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10</w:t>
            </w:r>
          </w:p>
        </w:tc>
        <w:tc>
          <w:tcPr>
            <w:tcW w:type="dxa" w:w="396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Debate: defend your vote using the bill text as evidence</w:t>
            </w:r>
          </w:p>
        </w:tc>
        <w:tc>
          <w:tcPr>
            <w:tcW w:type="dxa" w:w="396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Students must cite specific provisions from the HillWatch breakdown</w:t>
            </w:r>
          </w:p>
        </w:tc>
      </w:tr>
    </w:tbl>
    <w:p>
      <w:r>
        <w:br w:type="page"/>
      </w:r>
    </w:p>
    <w:p>
      <w:pPr>
        <w:pStyle w:val="Heading1"/>
        <w:spacing w:after="200" w:before="480"/>
      </w:pPr>
      <w:r>
        <w:rPr>
          <w:rFonts w:ascii="Calibri" w:cs="Calibri" w:eastAsia="Calibri" w:hAnsi="Calibri"/>
          <w:b/>
          <w:bCs/>
          <w:color w:val="1C1C1E"/>
          <w:sz w:val="40"/>
          <w:szCs w:val="40"/>
        </w:rPr>
        <w:t xml:space="preserve">Part 3: The Combined Roadmap</w:t>
      </w:r>
    </w:p>
    <w:p>
      <w:pPr>
        <w:spacing w:after="120" w:before="80"/>
      </w:pPr>
      <w:r>
        <w:rPr>
          <w:rFonts w:ascii="Calibri" w:cs="Calibri" w:eastAsia="Calibri" w:hAnsi="Calibri"/>
          <w:color w:val="333333"/>
          <w:sz w:val="22"/>
          <w:szCs w:val="22"/>
        </w:rPr>
        <w:t xml:space="preserve">The funding strategy and the civics curriculum strategy are not separate. They reinforce each other. A school curriculum partnership generates the guaranteed user base that makes HillWatch attractive to investors and enterprise clients. An equity partner's capital builds the platform that makes curriculum integration possible. They move together.</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24-Month Master Roadmap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580"/>
        <w:gridCol w:w="2580"/>
      </w:tblGrid>
      <w:tr>
        <w:trPr>
          <w:tblHeader/>
        </w:trPr>
        <w:tc>
          <w:tcPr>
            <w:tcW w:type="dxa" w:w="18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Phase</w:t>
            </w:r>
          </w:p>
        </w:tc>
        <w:tc>
          <w:tcPr>
            <w:tcW w:type="dxa" w:w="24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Timeline</w:t>
            </w:r>
          </w:p>
        </w:tc>
        <w:tc>
          <w:tcPr>
            <w:tcW w:type="dxa" w:w="25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Action</w:t>
            </w:r>
          </w:p>
        </w:tc>
        <w:tc>
          <w:tcPr>
            <w:tcW w:type="dxa" w:w="25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Outcome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Now</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0-3</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Secure concept sale or first investor meeting</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$50K-$150K seed to operate</w:t>
            </w:r>
          </w:p>
        </w:tc>
      </w:tr>
      <w:tr>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Foundation</w:t>
            </w:r>
          </w:p>
        </w:tc>
        <w:tc>
          <w:tcPr>
            <w:tcW w:type="dxa" w:w="24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3-6</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Launch web platform, begin enterprise sales, Ontario school pilot</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3+ enterprise clients, 10 pilot schools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Build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6-12</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iOS + Android app launch, 3 provinces live</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5,000+ users, 50 pilot schools</w:t>
            </w:r>
          </w:p>
        </w:tc>
      </w:tr>
      <w:tr>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Curriculum</w:t>
            </w:r>
          </w:p>
        </w:tc>
        <w:tc>
          <w:tcPr>
            <w:tcW w:type="dxa" w:w="24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12-18</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Ontario Ministry of Education submission, BC and Alberta approach</w:t>
            </w:r>
          </w:p>
        </w:tc>
        <w:tc>
          <w:tcPr>
            <w:tcW w:type="dxa" w:w="25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Ministry endorsement in 1+ province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Scale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18-24</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6+ provinces, sentiment data product, 50,000 users</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3+ province endorsements, Series A or acquisition</w:t>
            </w:r>
          </w:p>
        </w:tc>
      </w:tr>
    </w:tbl>
    <w:p>
      <w:pPr>
        <w:spacing w:after="0" w:before="200"/>
      </w:pP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The Numbers at Scale</w:t>
      </w:r>
    </w:p>
    <w:p>
      <w:pPr>
        <w:spacing w:after="120" w:before="80"/>
      </w:pPr>
      <w:r>
        <w:rPr>
          <w:rFonts w:ascii="Calibri" w:cs="Calibri" w:eastAsia="Calibri" w:hAnsi="Calibri"/>
          <w:color w:val="333333"/>
          <w:sz w:val="22"/>
          <w:szCs w:val="22"/>
        </w:rPr>
        <w:t xml:space="preserve">If HillWatch achieves curriculum integration in Ontario alone, the user acquisition math becomes extraordinary.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Metric</w:t>
            </w:r>
          </w:p>
        </w:tc>
        <w:tc>
          <w:tcPr>
            <w:tcW w:type="dxa" w:w="312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Conservative</w:t>
            </w:r>
          </w:p>
        </w:tc>
        <w:tc>
          <w:tcPr>
            <w:tcW w:type="dxa" w:w="312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Optimistic</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Ontario Grade 10 students/year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130,000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150,000</w:t>
            </w:r>
          </w:p>
        </w:tc>
      </w:tr>
      <w:tr>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Students who keep the app after civics</w:t>
            </w:r>
          </w:p>
        </w:tc>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25% (32,500)</w:t>
            </w:r>
          </w:p>
        </w:tc>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50% (75,000)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Year 3 cumulative Ontario users (civics alone)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97,500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225,000</w:t>
            </w:r>
          </w:p>
        </w:tc>
      </w:tr>
      <w:tr>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National curriculum rollout Year 5</w:t>
            </w:r>
          </w:p>
        </w:tc>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300,000 users/year</w:t>
            </w:r>
          </w:p>
        </w:tc>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600,000 users/year</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Organic users (non-school)</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50,000+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200,000+</w:t>
            </w:r>
          </w:p>
        </w:tc>
      </w:tr>
      <w:tr>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Total platform users Year 5</w:t>
            </w:r>
          </w:p>
        </w:tc>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400,000+</w:t>
            </w:r>
          </w:p>
        </w:tc>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800,000+</w:t>
            </w:r>
          </w:p>
        </w:tc>
      </w:tr>
    </w:tbl>
    <w:p>
      <w:pPr>
        <w:spacing w:after="0" w:before="200"/>
      </w:pPr>
    </w:p>
    <w:p>
      <w:pPr>
        <w:pBdr>
          <w:left w:val="single" w:color="C0392B" w:sz="12" w:space="12"/>
        </w:pBdr>
        <w:spacing w:after="160" w:before="160"/>
        <w:ind w:left="360"/>
      </w:pPr>
      <w:r>
        <w:rPr>
          <w:rFonts w:ascii="Calibri" w:cs="Calibri" w:eastAsia="Calibri" w:hAnsi="Calibri"/>
          <w:b/>
          <w:bCs/>
          <w:i/>
          <w:iCs/>
          <w:color w:val="1C1C1E"/>
          <w:sz w:val="22"/>
          <w:szCs w:val="22"/>
        </w:rPr>
        <w:t xml:space="preserve">An investor who funds HillWatch today is not just backing a civic app. They are funding Canada's civic infrastructure for the next generation.</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Why This Wins</w:t>
      </w:r>
    </w:p>
    <w:p>
      <w:pPr>
        <w:spacing w:after="120" w:before="80"/>
      </w:pPr>
      <w:r>
        <w:rPr>
          <w:rFonts w:ascii="Calibri" w:cs="Calibri" w:eastAsia="Calibri" w:hAnsi="Calibri"/>
          <w:color w:val="333333"/>
          <w:sz w:val="22"/>
          <w:szCs w:val="22"/>
        </w:rPr>
        <w:t xml:space="preserve">Most civic technology fails because it cannot solve the user acquisition problem. Civic apps require habitual engagement with content that most people find dry, and they compete against every other app on a person's phone.</w:t>
      </w:r>
    </w:p>
    <w:p>
      <w:pPr>
        <w:spacing w:after="120" w:before="80"/>
      </w:pPr>
      <w:r>
        <w:rPr>
          <w:rFonts w:ascii="Calibri" w:cs="Calibri" w:eastAsia="Calibri" w:hAnsi="Calibri"/>
          <w:color w:val="333333"/>
          <w:sz w:val="22"/>
          <w:szCs w:val="22"/>
        </w:rPr>
        <w:t xml:space="preserve">HillWatch solves user acquisition differently. By embedding into the civics curriculum, HillWatch acquires its first 100,000 users through education. not advertising. Those users form a habit during a formative period of their civic identity. A 16-year-old who uses HillWatch to follow a bill through Parliament is likely to use HillWatch to follow legislation for the next 60 years.</w:t>
      </w:r>
    </w:p>
    <w:p>
      <w:pPr>
        <w:spacing w:after="120" w:before="80"/>
      </w:pPr>
      <w:r>
        <w:rPr>
          <w:rFonts w:ascii="Calibri" w:cs="Calibri" w:eastAsia="Calibri" w:hAnsi="Calibri"/>
          <w:color w:val="333333"/>
          <w:sz w:val="22"/>
          <w:szCs w:val="22"/>
        </w:rPr>
        <w:t xml:space="preserve">The sentiment data layer becomes more valuable with every user added. A platform with 50,000 users has a civic pulse. A platform with 500,000 users has something that no polling firm, media organization, or government in Canada has ever had: a real-time, continuous, bill-specific measure of what Canadians think about their own laws.</w:t>
      </w:r>
    </w:p>
    <w:p>
      <w:pPr>
        <w:spacing w:after="120" w:before="80"/>
      </w:pPr>
      <w:r>
        <w:rPr>
          <w:rFonts w:ascii="Calibri" w:cs="Calibri" w:eastAsia="Calibri" w:hAnsi="Calibri"/>
          <w:color w:val="333333"/>
          <w:sz w:val="22"/>
          <w:szCs w:val="22"/>
        </w:rPr>
        <w:t xml:space="preserve">That is not a startup. That is infrastructure.</w:t>
      </w:r>
    </w:p>
    <w:p>
      <w:pPr>
        <w:pBdr>
          <w:bottom w:val="single" w:color="E5E5EA" w:sz="4"/>
        </w:pBdr>
        <w:spacing w:after="240" w:before="240"/>
      </w:pPr>
    </w:p>
    <w:p>
      <w:pPr>
        <w:spacing w:after="100" w:before="200"/>
      </w:pPr>
      <w:r>
        <w:rPr>
          <w:rFonts w:ascii="Calibri" w:cs="Calibri" w:eastAsia="Calibri" w:hAnsi="Calibri"/>
          <w:b/>
          <w:bCs/>
          <w:color w:val="666666"/>
          <w:sz w:val="20"/>
          <w:szCs w:val="20"/>
        </w:rPr>
        <w:t xml:space="preserve">Prepared by HillWatch · April 2026 · Confidential</w:t>
      </w:r>
    </w:p>
    <w:p>
      <w:r>
        <w:rPr>
          <w:rFonts w:ascii="Calibri" w:cs="Calibri" w:eastAsia="Calibri" w:hAnsi="Calibri"/>
          <w:i/>
          <w:iCs/>
          <w:color w:val="999999"/>
          <w:sz w:val="18"/>
          <w:szCs w:val="18"/>
        </w:rPr>
        <w:t xml:space="preserve">This document is intended solely for authorized recipients. All content is confidential and proprietary to HillWatch. hillwatch.ca · ginodomanico@hotmail.com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Calibri" w:cs="Calibri" w:eastAsia="Calibri" w:hAnsi="Calibri"/>
      <w:b/>
      <w:bCs/>
      <w:color w:val="1C1C1E"/>
      <w:sz w:val="40"/>
      <w:szCs w:val="40"/>
    </w:rPr>
  </w:style>
  <w:style w:type="paragraph" w:styleId="Heading2">
    <w:name w:val="Heading 2"/>
    <w:basedOn w:val="Normal"/>
    <w:next w:val="Normal"/>
    <w:qFormat/>
    <w:pPr>
      <w:spacing w:after="160" w:before="360"/>
      <w:outlineLvl w:val="1"/>
    </w:pPr>
    <w:rPr>
      <w:rFonts w:ascii="Calibri" w:cs="Calibri" w:eastAsia="Calibri" w:hAnsi="Calibri"/>
      <w:b/>
      <w:bCs/>
      <w:color w:val="C0392B"/>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2026-04-06T19:46:04.781Z</dcterms:created>
  <dcterms:modified xsi:type="dcterms:W3CDTF">2026-04-06T19:46:04.782Z</dcterms:modified>
</cp:coreProperties>
</file>

<file path=docProps/custom.xml><?xml version="1.0" encoding="utf-8"?>
<Properties xmlns="http://schemas.openxmlformats.org/officeDocument/2006/custom-properties" xmlns:vt="http://schemas.openxmlformats.org/officeDocument/2006/docPropsVTypes"/>
</file>