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1200"/>
      </w:pPr>
      <w:r>
        <w:rPr>
          <w:rFonts w:ascii="Calibri" w:cs="Calibri" w:eastAsia="Calibri" w:hAnsi="Calibri"/>
          <w:b/>
          <w:bCs/>
          <w:color w:val="1C1C1E"/>
          <w:sz w:val="72"/>
          <w:szCs w:val="72"/>
        </w:rPr>
        <w:t xml:space="preserve">HillWatch</w:t>
      </w:r>
    </w:p>
    <w:p>
      <w:pPr>
        <w:spacing w:after="200" w:before="0"/>
      </w:pPr>
      <w:r>
        <w:rPr>
          <w:rFonts w:ascii="Calibri" w:cs="Calibri" w:eastAsia="Calibri" w:hAnsi="Calibri"/>
          <w:color w:val="C0392B"/>
          <w:sz w:val="40"/>
          <w:szCs w:val="40"/>
        </w:rPr>
        <w:t xml:space="preserve">Competitive Analysis &amp; Valuation Benchmarks</w:t>
      </w:r>
    </w:p>
    <w:p>
      <w:pPr>
        <w:spacing w:after="800" w:before="0"/>
      </w:pPr>
      <w:r>
        <w:rPr>
          <w:rFonts w:ascii="Calibri" w:cs="Calibri" w:eastAsia="Calibri" w:hAnsi="Calibri"/>
          <w:i/>
          <w:iCs/>
          <w:color w:val="666666"/>
          <w:sz w:val="22"/>
          <w:szCs w:val="22"/>
        </w:rPr>
        <w:t xml:space="preserve">U.S. Market Proof · Exit Opportunities · What HillWatch Is Worth — Confidential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none" w:color="FFFFFF" w:sz="0"/>
              <w:left w:val="none" w:color="FFFFFF" w:sz="0"/>
              <w:bottom w:val="none" w:color="FFFFFF" w:sz="0"/>
              <w:right w:val="none" w:color="FFFFFF" w:sz="0"/>
            </w:tcBorders>
            <w:shd w:fill="F5F4F0" w:val="clear"/>
            <w:tcMar>
              <w:top w:type="dxa" w:w="100"/>
              <w:left w:type="dxa" w:w="160"/>
              <w:bottom w:type="dxa" w:w="100"/>
              <w:right w:type="dxa" w:w="160"/>
            </w:tcMar>
          </w:tcPr>
          <w:p>
            <w:r>
              <w:rPr>
                <w:rFonts w:ascii="Calibri" w:cs="Calibri" w:eastAsia="Calibri" w:hAnsi="Calibri"/>
                <w:b/>
                <w:bCs/>
                <w:color w:val="666666"/>
                <w:sz w:val="20"/>
                <w:szCs w:val="20"/>
              </w:rPr>
              <w:t xml:space="preserve">Document</w:t>
            </w:r>
          </w:p>
        </w:tc>
        <w:tc>
          <w:tcPr>
            <w:tcW w:type="dxa" w:w="63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Calibri" w:cs="Calibri" w:eastAsia="Calibri" w:hAnsi="Calibri"/>
                <w:b w:val="false"/>
                <w:bCs w:val="false"/>
                <w:color w:val="1C1C1E"/>
                <w:sz w:val="20"/>
                <w:szCs w:val="20"/>
              </w:rPr>
              <w:t xml:space="preserve">Competitive Analysis &amp; Valuation Benchmarks</w:t>
            </w:r>
          </w:p>
        </w:tc>
      </w:tr>
      <w:tr>
        <w:tc>
          <w:tcPr>
            <w:tcW w:type="dxa" w:w="3000"/>
            <w:tcBorders>
              <w:top w:val="none" w:color="FFFFFF" w:sz="0"/>
              <w:left w:val="none" w:color="FFFFFF" w:sz="0"/>
              <w:bottom w:val="none" w:color="FFFFFF" w:sz="0"/>
              <w:right w:val="none" w:color="FFFFFF" w:sz="0"/>
            </w:tcBorders>
            <w:shd w:fill="F5F4F0" w:val="clear"/>
            <w:tcMar>
              <w:top w:type="dxa" w:w="100"/>
              <w:left w:type="dxa" w:w="160"/>
              <w:bottom w:type="dxa" w:w="100"/>
              <w:right w:type="dxa" w:w="160"/>
            </w:tcMar>
          </w:tcPr>
          <w:p>
            <w:r>
              <w:rPr>
                <w:rFonts w:ascii="Calibri" w:cs="Calibri" w:eastAsia="Calibri" w:hAnsi="Calibri"/>
                <w:b/>
                <w:bCs/>
                <w:color w:val="666666"/>
                <w:sz w:val="20"/>
                <w:szCs w:val="20"/>
              </w:rPr>
              <w:t xml:space="preserve">Version</w:t>
            </w:r>
          </w:p>
        </w:tc>
        <w:tc>
          <w:tcPr>
            <w:tcW w:type="dxa" w:w="63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Calibri" w:cs="Calibri" w:eastAsia="Calibri" w:hAnsi="Calibri"/>
                <w:b w:val="false"/>
                <w:bCs w:val="false"/>
                <w:color w:val="1C1C1E"/>
                <w:sz w:val="20"/>
                <w:szCs w:val="20"/>
              </w:rPr>
              <w:t xml:space="preserve">1.0 — April 2026</w:t>
            </w:r>
          </w:p>
        </w:tc>
      </w:tr>
      <w:tr>
        <w:tc>
          <w:tcPr>
            <w:tcW w:type="dxa" w:w="3000"/>
            <w:tcBorders>
              <w:top w:val="none" w:color="FFFFFF" w:sz="0"/>
              <w:left w:val="none" w:color="FFFFFF" w:sz="0"/>
              <w:bottom w:val="none" w:color="FFFFFF" w:sz="0"/>
              <w:right w:val="none" w:color="FFFFFF" w:sz="0"/>
            </w:tcBorders>
            <w:shd w:fill="F5F4F0" w:val="clear"/>
            <w:tcMar>
              <w:top w:type="dxa" w:w="100"/>
              <w:left w:type="dxa" w:w="160"/>
              <w:bottom w:type="dxa" w:w="100"/>
              <w:right w:type="dxa" w:w="160"/>
            </w:tcMar>
          </w:tcPr>
          <w:p>
            <w:r>
              <w:rPr>
                <w:rFonts w:ascii="Calibri" w:cs="Calibri" w:eastAsia="Calibri" w:hAnsi="Calibri"/>
                <w:b/>
                <w:bCs/>
                <w:color w:val="666666"/>
                <w:sz w:val="20"/>
                <w:szCs w:val="20"/>
              </w:rPr>
              <w:t xml:space="preserve">Purpose</w:t>
            </w:r>
          </w:p>
        </w:tc>
        <w:tc>
          <w:tcPr>
            <w:tcW w:type="dxa" w:w="63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Calibri" w:cs="Calibri" w:eastAsia="Calibri" w:hAnsi="Calibri"/>
                <w:b w:val="false"/>
                <w:bCs w:val="false"/>
                <w:color w:val="1C1C1E"/>
                <w:sz w:val="20"/>
                <w:szCs w:val="20"/>
              </w:rPr>
              <w:t xml:space="preserve">Demonstrate market validation and exit value for HillWatch</w:t>
            </w:r>
          </w:p>
        </w:tc>
      </w:tr>
      <w:tr>
        <w:tc>
          <w:tcPr>
            <w:tcW w:type="dxa" w:w="3000"/>
            <w:tcBorders>
              <w:top w:val="none" w:color="FFFFFF" w:sz="0"/>
              <w:left w:val="none" w:color="FFFFFF" w:sz="0"/>
              <w:bottom w:val="none" w:color="FFFFFF" w:sz="0"/>
              <w:right w:val="none" w:color="FFFFFF" w:sz="0"/>
            </w:tcBorders>
            <w:shd w:fill="F5F4F0" w:val="clear"/>
            <w:tcMar>
              <w:top w:type="dxa" w:w="100"/>
              <w:left w:type="dxa" w:w="160"/>
              <w:bottom w:type="dxa" w:w="100"/>
              <w:right w:type="dxa" w:w="160"/>
            </w:tcMar>
          </w:tcPr>
          <w:p>
            <w:r>
              <w:rPr>
                <w:rFonts w:ascii="Calibri" w:cs="Calibri" w:eastAsia="Calibri" w:hAnsi="Calibri"/>
                <w:b/>
                <w:bCs/>
                <w:color w:val="666666"/>
                <w:sz w:val="20"/>
                <w:szCs w:val="20"/>
              </w:rPr>
              <w:t xml:space="preserve">Status</w:t>
            </w:r>
          </w:p>
        </w:tc>
        <w:tc>
          <w:tcPr>
            <w:tcW w:type="dxa" w:w="636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Calibri" w:cs="Calibri" w:eastAsia="Calibri" w:hAnsi="Calibri"/>
                <w:b w:val="false"/>
                <w:bCs w:val="false"/>
                <w:color w:val="1C1C1E"/>
                <w:sz w:val="20"/>
                <w:szCs w:val="20"/>
              </w:rPr>
              <w:t xml:space="preserve">Confidential — Investor Portal</w:t>
            </w:r>
          </w:p>
        </w:tc>
      </w:tr>
    </w:tbl>
    <w:p>
      <w:pPr>
        <w:spacing w:after="120" w:before="500"/>
      </w:pPr>
      <w:r>
        <w:rPr>
          <w:rFonts w:ascii="Calibri" w:cs="Calibri" w:eastAsia="Calibri" w:hAnsi="Calibri"/>
          <w:b/>
          <w:bCs/>
          <w:color w:val="1C1C1E"/>
          <w:sz w:val="26"/>
          <w:szCs w:val="26"/>
        </w:rPr>
        <w:t xml:space="preserve">Why This Document Matters</w:t>
      </w:r>
    </w:p>
    <w:p>
      <w:pPr>
        <w:spacing w:after="120" w:before="80"/>
      </w:pPr>
      <w:r>
        <w:rPr>
          <w:rFonts w:ascii="Calibri" w:cs="Calibri" w:eastAsia="Calibri" w:hAnsi="Calibri"/>
          <w:color w:val="333333"/>
          <w:sz w:val="22"/>
          <w:szCs w:val="22"/>
        </w:rPr>
        <w:t xml:space="preserve">The single most powerful proof point for HillWatch's value is not the concept itself — it's the fact that U.S. companies doing something similar generate hundreds of millions in revenue and trade at valuations in the hundreds of millions to over a billion dollars. Canada has none of this. HillWatch is the first mover in a proven, high-value market.</w:t>
      </w:r>
    </w:p>
    <w:p>
      <w:pPr>
        <w:spacing w:after="120" w:before="80"/>
      </w:pPr>
      <w:r>
        <w:rPr>
          <w:rFonts w:ascii="Calibri" w:cs="Calibri" w:eastAsia="Calibri" w:hAnsi="Calibri"/>
          <w:color w:val="333333"/>
          <w:sz w:val="22"/>
          <w:szCs w:val="22"/>
        </w:rPr>
        <w:t xml:space="preserve">This document presents a detailed analysis of HillWatch's key U.S. comparables — their revenue, funding, valuation multiples, and what they imply for HillWatch's long-term value and exit potential.</w:t>
      </w:r>
    </w:p>
    <w:p>
      <w:r>
        <w:br w:type="page"/>
      </w:r>
    </w:p>
    <w:p>
      <w:pPr>
        <w:pStyle w:val="Heading1"/>
        <w:spacing w:after="200" w:before="400"/>
      </w:pPr>
      <w:r>
        <w:rPr>
          <w:rFonts w:ascii="Calibri" w:cs="Calibri" w:eastAsia="Calibri" w:hAnsi="Calibri"/>
          <w:b/>
          <w:bCs/>
          <w:color w:val="1C1C1E"/>
          <w:sz w:val="36"/>
          <w:szCs w:val="36"/>
        </w:rPr>
        <w:t xml:space="preserve">01 — The U.S. Market: Proof the Model Works</w:t>
      </w:r>
    </w:p>
    <w:p>
      <w:pPr>
        <w:spacing w:after="120" w:before="80"/>
      </w:pPr>
      <w:r>
        <w:rPr>
          <w:rFonts w:ascii="Calibri" w:cs="Calibri" w:eastAsia="Calibri" w:hAnsi="Calibri"/>
          <w:color w:val="333333"/>
          <w:sz w:val="22"/>
          <w:szCs w:val="22"/>
        </w:rPr>
        <w:t xml:space="preserve">Before making the case for HillWatch, it's worth understanding what already exists in the United States — and why none of it serves Canada.</w:t>
      </w: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FiscalNote — The Closest Comparable</w:t>
      </w:r>
    </w:p>
    <w:p>
      <w:pPr>
        <w:spacing w:after="100" w:before="220"/>
      </w:pPr>
      <w:r>
        <w:rPr>
          <w:rFonts w:ascii="Calibri" w:cs="Calibri" w:eastAsia="Calibri" w:hAnsi="Calibri"/>
          <w:b/>
          <w:bCs/>
          <w:color w:val="1C1C1E"/>
          <w:sz w:val="24"/>
          <w:szCs w:val="24"/>
        </w:rPr>
        <w:t xml:space="preserve">What It Does</w:t>
      </w:r>
    </w:p>
    <w:p>
      <w:pPr>
        <w:spacing w:after="120" w:before="80"/>
      </w:pPr>
      <w:r>
        <w:rPr>
          <w:rFonts w:ascii="Calibri" w:cs="Calibri" w:eastAsia="Calibri" w:hAnsi="Calibri"/>
          <w:color w:val="333333"/>
          <w:sz w:val="22"/>
          <w:szCs w:val="22"/>
        </w:rPr>
        <w:t xml:space="preserve">FiscalNote is an AI-powered platform that monitors U.S. federal and state legislation, regulatory filings, and global policy changes — delivering intelligence to corporations, law firms, trade associations, and government agencies. It is the closest direct comparable to what HillWatch would be for Canada.</w:t>
      </w:r>
    </w:p>
    <w:p>
      <w:pPr>
        <w:spacing w:after="100" w:before="220"/>
      </w:pPr>
      <w:r>
        <w:rPr>
          <w:rFonts w:ascii="Calibri" w:cs="Calibri" w:eastAsia="Calibri" w:hAnsi="Calibri"/>
          <w:b/>
          <w:bCs/>
          <w:color w:val="1C1C1E"/>
          <w:sz w:val="24"/>
          <w:szCs w:val="24"/>
        </w:rPr>
        <w:t xml:space="preserve">Company History</w:t>
      </w:r>
    </w:p>
    <w:p>
      <w:pPr>
        <w:pStyle w:val="ListParagraph"/>
        <w:numPr>
          <w:ilvl w:val="0"/>
          <w:numId w:val="2"/>
        </w:numPr>
        <w:spacing w:after="60" w:before="60"/>
      </w:pPr>
      <w:r>
        <w:rPr>
          <w:rFonts w:ascii="Calibri" w:cs="Calibri" w:eastAsia="Calibri" w:hAnsi="Calibri"/>
          <w:color w:val="333333"/>
          <w:sz w:val="22"/>
          <w:szCs w:val="22"/>
        </w:rPr>
        <w:t xml:space="preserve">Founded 2013 by Tim Hwang (Princeton student) after a cold email to Mark Cuban secured early seed funding</w:t>
      </w:r>
    </w:p>
    <w:p>
      <w:pPr>
        <w:pStyle w:val="ListParagraph"/>
        <w:numPr>
          <w:ilvl w:val="0"/>
          <w:numId w:val="2"/>
        </w:numPr>
        <w:spacing w:after="60" w:before="60"/>
      </w:pPr>
      <w:r>
        <w:rPr>
          <w:rFonts w:ascii="Calibri" w:cs="Calibri" w:eastAsia="Calibri" w:hAnsi="Calibri"/>
          <w:color w:val="333333"/>
          <w:sz w:val="22"/>
          <w:szCs w:val="22"/>
        </w:rPr>
        <w:t xml:space="preserve">Grew through aggressive acquisition strategy — CQ Roll Call (2018), VoterVoice, Curate, Dragonfly Eye, and 15+ others</w:t>
      </w:r>
    </w:p>
    <w:p>
      <w:pPr>
        <w:pStyle w:val="ListParagraph"/>
        <w:numPr>
          <w:ilvl w:val="0"/>
          <w:numId w:val="2"/>
        </w:numPr>
        <w:spacing w:after="60" w:before="60"/>
      </w:pPr>
      <w:r>
        <w:rPr>
          <w:rFonts w:ascii="Calibri" w:cs="Calibri" w:eastAsia="Calibri" w:hAnsi="Calibri"/>
          <w:color w:val="333333"/>
          <w:sz w:val="22"/>
          <w:szCs w:val="22"/>
        </w:rPr>
        <w:t xml:space="preserve">Went public via SPAC on NYSE (ticker: NOTE) on July 29, 2022</w:t>
      </w:r>
    </w:p>
    <w:p>
      <w:pPr>
        <w:pStyle w:val="ListParagraph"/>
        <w:numPr>
          <w:ilvl w:val="0"/>
          <w:numId w:val="2"/>
        </w:numPr>
        <w:spacing w:after="60" w:before="60"/>
      </w:pPr>
      <w:r>
        <w:rPr>
          <w:rFonts w:ascii="Calibri" w:cs="Calibri" w:eastAsia="Calibri" w:hAnsi="Calibri"/>
          <w:color w:val="333333"/>
          <w:sz w:val="22"/>
          <w:szCs w:val="22"/>
        </w:rPr>
        <w:t xml:space="preserve">IPO implied valuation: $1.3 billion</w:t>
      </w:r>
    </w:p>
    <w:p>
      <w:pPr>
        <w:pStyle w:val="ListParagraph"/>
        <w:numPr>
          <w:ilvl w:val="0"/>
          <w:numId w:val="2"/>
        </w:numPr>
        <w:spacing w:after="60" w:before="60"/>
      </w:pPr>
      <w:r>
        <w:rPr>
          <w:rFonts w:ascii="Calibri" w:cs="Calibri" w:eastAsia="Calibri" w:hAnsi="Calibri"/>
          <w:color w:val="333333"/>
          <w:sz w:val="22"/>
          <w:szCs w:val="22"/>
        </w:rPr>
        <w:t xml:space="preserve">Peak revenue: $133 million ARR (FY 2022) — 37% year-over-year growth</w:t>
      </w:r>
    </w:p>
    <w:p>
      <w:pPr>
        <w:pStyle w:val="ListParagraph"/>
        <w:numPr>
          <w:ilvl w:val="0"/>
          <w:numId w:val="2"/>
        </w:numPr>
        <w:spacing w:after="60" w:before="60"/>
      </w:pPr>
      <w:r>
        <w:rPr>
          <w:rFonts w:ascii="Calibri" w:cs="Calibri" w:eastAsia="Calibri" w:hAnsi="Calibri"/>
          <w:color w:val="333333"/>
          <w:sz w:val="22"/>
          <w:szCs w:val="22"/>
        </w:rPr>
        <w:t xml:space="preserve">Raised $132.8M in total pre-IPO funding from 66+ investors</w:t>
      </w:r>
    </w:p>
    <w:p>
      <w:pPr>
        <w:pStyle w:val="ListParagraph"/>
        <w:numPr>
          <w:ilvl w:val="0"/>
          <w:numId w:val="2"/>
        </w:numPr>
        <w:spacing w:after="60" w:before="60"/>
      </w:pPr>
      <w:r>
        <w:rPr>
          <w:rFonts w:ascii="Calibri" w:cs="Calibri" w:eastAsia="Calibri" w:hAnsi="Calibri"/>
          <w:color w:val="333333"/>
          <w:sz w:val="22"/>
          <w:szCs w:val="22"/>
        </w:rPr>
        <w:t xml:space="preserve">As of early 2026: delisted from NYSE following stock decline — but the underlying business (policy intelligence SaaS) remains validated</w:t>
      </w:r>
    </w:p>
    <w:p>
      <w:pPr>
        <w:spacing w:after="100" w:before="220"/>
      </w:pPr>
      <w:r>
        <w:rPr>
          <w:rFonts w:ascii="Calibri" w:cs="Calibri" w:eastAsia="Calibri" w:hAnsi="Calibri"/>
          <w:b/>
          <w:bCs/>
          <w:color w:val="1C1C1E"/>
          <w:sz w:val="24"/>
          <w:szCs w:val="24"/>
        </w:rPr>
        <w:t xml:space="preserve">Key Financial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800"/>
        <w:gridCol w:w="3360"/>
      </w:tblGrid>
      <w:tr>
        <w:tc>
          <w:tcPr>
            <w:tcW w:type="dxa" w:w="32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Metric</w:t>
            </w:r>
          </w:p>
        </w:tc>
        <w:tc>
          <w:tcPr>
            <w:tcW w:type="dxa" w:w="2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Value</w:t>
            </w:r>
          </w:p>
        </w:tc>
        <w:tc>
          <w:tcPr>
            <w:tcW w:type="dxa" w:w="33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Notes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Founded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2013</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12 years of operation</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IPO Valuation (2022)</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$1.3 billion</w:t>
            </w:r>
          </w:p>
        </w:tc>
        <w:tc>
          <w:tcPr>
            <w:tcW w:type="dxa" w:w="33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SPAC merger with Duddell Street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Peak ARR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$133M (FY 2022)</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37% YoY growth</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Total Pre-IPO Funding</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$132.8M</w:t>
            </w:r>
          </w:p>
        </w:tc>
        <w:tc>
          <w:tcPr>
            <w:tcW w:type="dxa" w:w="33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66+ investors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Gross Margin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72–80%</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Typical SaaS margins</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EV/Revenue Multiple at IPO</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~9–10x</w:t>
            </w:r>
          </w:p>
        </w:tc>
        <w:tc>
          <w:tcPr>
            <w:tcW w:type="dxa" w:w="33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Based on $1.3B valuation / $133M ARR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Net Revenue Retention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101%</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Strong customer expansion</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Primary Revenue</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B2B SaaS subscriptions</w:t>
            </w:r>
          </w:p>
        </w:tc>
        <w:tc>
          <w:tcPr>
            <w:tcW w:type="dxa" w:w="33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Average $27K–$30K/year per customer</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Canada Coverage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U.S. federal + state only</w:t>
            </w:r>
          </w:p>
        </w:tc>
      </w:tr>
    </w:tbl>
    <w:p>
      <w:pPr>
        <w:pBdr>
          <w:left w:val="single" w:color="C0392B" w:sz="12"/>
        </w:pBdr>
        <w:spacing w:after="160" w:before="160"/>
        <w:ind w:left="360"/>
      </w:pPr>
      <w:r>
        <w:rPr>
          <w:rFonts w:ascii="Calibri" w:cs="Calibri" w:eastAsia="Calibri" w:hAnsi="Calibri"/>
          <w:i/>
          <w:iCs/>
          <w:color w:val="1C1C1E"/>
          <w:sz w:val="22"/>
          <w:szCs w:val="22"/>
        </w:rPr>
        <w:t xml:space="preserve">FiscalNote went from a cold email to a $1.3 billion public company in under 9 years. Canada's equivalent does not exist. HillWatch is positioned to be exactly that.</w:t>
      </w:r>
    </w:p>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Quorum — The Fastest-Growing U.S. Competitor</w:t>
      </w:r>
    </w:p>
    <w:p>
      <w:pPr>
        <w:spacing w:after="100" w:before="220"/>
      </w:pPr>
      <w:r>
        <w:rPr>
          <w:rFonts w:ascii="Calibri" w:cs="Calibri" w:eastAsia="Calibri" w:hAnsi="Calibri"/>
          <w:b/>
          <w:bCs/>
          <w:color w:val="1C1C1E"/>
          <w:sz w:val="24"/>
          <w:szCs w:val="24"/>
        </w:rPr>
        <w:t xml:space="preserve">What It Does</w:t>
      </w:r>
    </w:p>
    <w:p>
      <w:pPr>
        <w:spacing w:after="120" w:before="80"/>
      </w:pPr>
      <w:r>
        <w:rPr>
          <w:rFonts w:ascii="Calibri" w:cs="Calibri" w:eastAsia="Calibri" w:hAnsi="Calibri"/>
          <w:color w:val="333333"/>
          <w:sz w:val="22"/>
          <w:szCs w:val="22"/>
        </w:rPr>
        <w:t xml:space="preserve">Quorum is a public affairs software platform serving government relations professionals — tracking legislation, managing stakeholder relationships, and running grassroots advocacy campaigns across all 50 U.S. state legislatures and Congress. Named "The Moneyball Effect on K Street" by the Washington Post.</w:t>
      </w:r>
    </w:p>
    <w:p>
      <w:pPr>
        <w:spacing w:after="100" w:before="220"/>
      </w:pPr>
      <w:r>
        <w:rPr>
          <w:rFonts w:ascii="Calibri" w:cs="Calibri" w:eastAsia="Calibri" w:hAnsi="Calibri"/>
          <w:b/>
          <w:bCs/>
          <w:color w:val="1C1C1E"/>
          <w:sz w:val="24"/>
          <w:szCs w:val="24"/>
        </w:rPr>
        <w:t xml:space="preserve">Company Metrics</w:t>
      </w:r>
    </w:p>
    <w:p>
      <w:pPr>
        <w:pStyle w:val="ListParagraph"/>
        <w:numPr>
          <w:ilvl w:val="0"/>
          <w:numId w:val="2"/>
        </w:numPr>
        <w:spacing w:after="60" w:before="60"/>
      </w:pPr>
      <w:r>
        <w:rPr>
          <w:rFonts w:ascii="Calibri" w:cs="Calibri" w:eastAsia="Calibri" w:hAnsi="Calibri"/>
          <w:color w:val="333333"/>
          <w:sz w:val="22"/>
          <w:szCs w:val="22"/>
        </w:rPr>
        <w:t xml:space="preserve">Founded 2014 by Alex Wirth and Jonathan Lux at Harvard</w:t>
      </w:r>
    </w:p>
    <w:p>
      <w:pPr>
        <w:pStyle w:val="ListParagraph"/>
        <w:numPr>
          <w:ilvl w:val="0"/>
          <w:numId w:val="2"/>
        </w:numPr>
        <w:spacing w:after="60" w:before="60"/>
      </w:pPr>
      <w:r>
        <w:rPr>
          <w:rFonts w:ascii="Calibri" w:cs="Calibri" w:eastAsia="Calibri" w:hAnsi="Calibri"/>
          <w:color w:val="333333"/>
          <w:sz w:val="22"/>
          <w:szCs w:val="22"/>
        </w:rPr>
        <w:t xml:space="preserve">Clients include Toyota, Walmart, Uber, Sierra Club, Alzheimer's Association, U.S. Air Force, 50%+ of the Fortune 100</w:t>
      </w:r>
    </w:p>
    <w:p>
      <w:pPr>
        <w:pStyle w:val="ListParagraph"/>
        <w:numPr>
          <w:ilvl w:val="0"/>
          <w:numId w:val="2"/>
        </w:numPr>
        <w:spacing w:after="60" w:before="60"/>
      </w:pPr>
      <w:r>
        <w:rPr>
          <w:rFonts w:ascii="Calibri" w:cs="Calibri" w:eastAsia="Calibri" w:hAnsi="Calibri"/>
          <w:color w:val="333333"/>
          <w:sz w:val="22"/>
          <w:szCs w:val="22"/>
        </w:rPr>
        <w:t xml:space="preserve">Ranked #1762 on Inc. 5000 Fastest-Growing Companies (2024)</w:t>
      </w:r>
    </w:p>
    <w:p>
      <w:pPr>
        <w:pStyle w:val="ListParagraph"/>
        <w:numPr>
          <w:ilvl w:val="0"/>
          <w:numId w:val="2"/>
        </w:numPr>
        <w:spacing w:after="60" w:before="60"/>
      </w:pPr>
      <w:r>
        <w:rPr>
          <w:rFonts w:ascii="Calibri" w:cs="Calibri" w:eastAsia="Calibri" w:hAnsi="Calibri"/>
          <w:color w:val="333333"/>
          <w:sz w:val="22"/>
          <w:szCs w:val="22"/>
        </w:rPr>
        <w:t xml:space="preserve">438 employees; offices in Washington D.C. and Brussels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560"/>
      </w:tblGrid>
      <w:tr>
        <w:tc>
          <w:tcPr>
            <w:tcW w:type="dxa" w:w="30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Metric</w:t>
            </w:r>
          </w:p>
        </w:tc>
        <w:tc>
          <w:tcPr>
            <w:tcW w:type="dxa" w:w="2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Value</w:t>
            </w:r>
          </w:p>
        </w:tc>
        <w:tc>
          <w:tcPr>
            <w:tcW w:type="dxa" w:w="35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Notes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Founded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2014</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 years of operation</w:t>
            </w:r>
          </w:p>
        </w:tc>
      </w:tr>
      <w:tr>
        <w:tc>
          <w:tcPr>
            <w:tcW w:type="dxa" w:w="3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Revenue (2020)</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$10.5M</w:t>
            </w:r>
          </w:p>
        </w:tc>
        <w:tc>
          <w:tcPr>
            <w:tcW w:type="dxa" w:w="3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Early stage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Revenue (2023)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$46.1M</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340% growth in 3 years</w:t>
            </w:r>
          </w:p>
        </w:tc>
      </w:tr>
      <w:tr>
        <w:tc>
          <w:tcPr>
            <w:tcW w:type="dxa" w:w="3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Revenue (2024)</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$61.1M</w:t>
            </w:r>
          </w:p>
        </w:tc>
        <w:tc>
          <w:tcPr>
            <w:tcW w:type="dxa" w:w="3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33% YoY growth</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Employees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438</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Washington D.C. + Brussels</w:t>
            </w:r>
          </w:p>
        </w:tc>
      </w:tr>
      <w:tr>
        <w:tc>
          <w:tcPr>
            <w:tcW w:type="dxa" w:w="3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Customers</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~2,000</w:t>
            </w:r>
          </w:p>
        </w:tc>
        <w:tc>
          <w:tcPr>
            <w:tcW w:type="dxa" w:w="3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Fortune 100, trade associations, nonprofits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Estimated Valuation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$300M–$500M</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Based on 5–8x revenue multiple for private SaaS</w:t>
            </w:r>
          </w:p>
        </w:tc>
      </w:tr>
      <w:tr>
        <w:tc>
          <w:tcPr>
            <w:tcW w:type="dxa" w:w="3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Canada Coverage</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c>
          <w:tcPr>
            <w:tcW w:type="dxa" w:w="3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U.S. + EU only</w:t>
            </w:r>
          </w:p>
        </w:tc>
      </w:tr>
    </w:tbl>
    <w:p>
      <w:pPr>
        <w:pBdr>
          <w:left w:val="single" w:color="C0392B" w:sz="12"/>
        </w:pBdr>
        <w:spacing w:after="160" w:before="160"/>
        <w:ind w:left="360"/>
      </w:pPr>
      <w:r>
        <w:rPr>
          <w:rFonts w:ascii="Calibri" w:cs="Calibri" w:eastAsia="Calibri" w:hAnsi="Calibri"/>
          <w:i/>
          <w:iCs/>
          <w:color w:val="1C1C1E"/>
          <w:sz w:val="22"/>
          <w:szCs w:val="22"/>
        </w:rPr>
        <w:t xml:space="preserve">Quorum grew from $10.5M to $61M in revenue in just 4 years — a 480% increase. It serves the same market HillWatch targets, in the U.S. only. The Canadian equivalent is entirely unclaimed.</w:t>
      </w:r>
    </w:p>
    <w:p>
      <w:r>
        <w:br w:type="page"/>
      </w:r>
    </w:p>
    <w:p>
      <w:pPr>
        <w:pStyle w:val="Heading2"/>
        <w:spacing w:after="150" w:before="300"/>
      </w:pPr>
      <w:r>
        <w:rPr>
          <w:rFonts w:ascii="Calibri" w:cs="Calibri" w:eastAsia="Calibri" w:hAnsi="Calibri"/>
          <w:b/>
          <w:bCs/>
          <w:color w:val="C0392B"/>
          <w:sz w:val="28"/>
          <w:szCs w:val="28"/>
        </w:rPr>
        <w:t xml:space="preserve">Bloomberg Government — The Premium Enterprise Player</w:t>
      </w:r>
    </w:p>
    <w:p>
      <w:pPr>
        <w:spacing w:after="120" w:before="80"/>
      </w:pPr>
      <w:r>
        <w:rPr>
          <w:rFonts w:ascii="Calibri" w:cs="Calibri" w:eastAsia="Calibri" w:hAnsi="Calibri"/>
          <w:color w:val="333333"/>
          <w:sz w:val="22"/>
          <w:szCs w:val="22"/>
        </w:rPr>
        <w:t xml:space="preserve">Bloomberg Government (BGOV) is a premium intelligence service for government affairs professionals, policy analysts, and lobbyists. It provides real-time legislative tracking, regulatory intelligence, and policy analysis across U.S. federal government activity.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Metric</w:t>
            </w:r>
          </w:p>
        </w:tc>
        <w:tc>
          <w:tcPr>
            <w:tcW w:type="dxa" w:w="55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Value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Parent Company</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Bloomberg L.P.</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Subscription Price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$4,000–$8,000+/year per user</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Target Market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Enterprise — law firms, corporations, lobbying firms</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Coverage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U.S. federal government only</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Canada Coverage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Estimated Revenue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$50M–$100M+ (not separately disclosed by Bloomberg)</w:t>
            </w:r>
          </w:p>
        </w:tc>
      </w:tr>
    </w:tbl>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Politico Pro — The Media-Intelligence Hybrid</w:t>
      </w:r>
    </w:p>
    <w:p>
      <w:pPr>
        <w:spacing w:after="120" w:before="80"/>
      </w:pPr>
      <w:r>
        <w:rPr>
          <w:rFonts w:ascii="Calibri" w:cs="Calibri" w:eastAsia="Calibri" w:hAnsi="Calibri"/>
          <w:color w:val="333333"/>
          <w:sz w:val="22"/>
          <w:szCs w:val="22"/>
        </w:rPr>
        <w:t xml:space="preserve">Politico Pro is the subscription intelligence tier of Politico, combining news coverage with legislative tracking and regulatory monitoring for policy professionals. It is the premium offering layered on top of Politico's free journalism.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Metric</w:t>
            </w:r>
          </w:p>
        </w:tc>
        <w:tc>
          <w:tcPr>
            <w:tcW w:type="dxa" w:w="55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Value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Parent Company</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Politico (owned by Axel Springer, valued at $1B+)</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Subscription Price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$10,000–$30,000+/year</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Target Market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Corporate government affairs, law firms, associations</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Coverage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U.S. federal government and select international</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Canada Coverage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Estimated Revenue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$100M+ (industry estimates)</w:t>
            </w:r>
          </w:p>
        </w:tc>
      </w:tr>
    </w:tbl>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OpenParliament.ca — The Canadian Non-Profit</w:t>
      </w:r>
    </w:p>
    <w:p>
      <w:pPr>
        <w:spacing w:after="120" w:before="80"/>
      </w:pPr>
      <w:r>
        <w:rPr>
          <w:rFonts w:ascii="Calibri" w:cs="Calibri" w:eastAsia="Calibri" w:hAnsi="Calibri"/>
          <w:color w:val="333333"/>
          <w:sz w:val="22"/>
          <w:szCs w:val="22"/>
        </w:rPr>
        <w:t xml:space="preserve">OpenParliament.ca is Canada's only existing parliamentary tracking tool. It is run by a single volunteer developer, Michael Mulley, has no funding, no mobile app, no provincial coverage, no alert system, no business model, and no revenue. It is a passion project, not a product.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Metric</w:t>
            </w:r>
          </w:p>
        </w:tc>
        <w:tc>
          <w:tcPr>
            <w:tcW w:type="dxa" w:w="55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Value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Founded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~2009</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Revenue</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$0</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Funding</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$0 (volunteer-run)</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Mobile App</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Provincial Coverage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 — federal only</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Alert System</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Basic RSS — no push notifications</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AI Summaries</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Business Model</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Sentiment Tracking</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None</w:t>
            </w:r>
          </w:p>
        </w:tc>
      </w:tr>
      <w:tr>
        <w:tc>
          <w:tcPr>
            <w:tcW w:type="dxa" w:w="3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Last Updated</w:t>
            </w:r>
          </w:p>
        </w:tc>
        <w:tc>
          <w:tcPr>
            <w:tcW w:type="dxa" w:w="55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Sporadic — not actively maintained</w:t>
            </w:r>
          </w:p>
        </w:tc>
      </w:tr>
    </w:tbl>
    <w:p>
      <w:pPr>
        <w:pBdr>
          <w:left w:val="single" w:color="C0392B" w:sz="12"/>
        </w:pBdr>
        <w:spacing w:after="160" w:before="160"/>
        <w:ind w:left="360"/>
      </w:pPr>
      <w:r>
        <w:rPr>
          <w:rFonts w:ascii="Calibri" w:cs="Calibri" w:eastAsia="Calibri" w:hAnsi="Calibri"/>
          <w:i/>
          <w:iCs/>
          <w:color w:val="1C1C1E"/>
          <w:sz w:val="22"/>
          <w:szCs w:val="22"/>
        </w:rPr>
        <w:t xml:space="preserve">OpenParliament.ca is the only Canadian equivalent — and it's a free, unfunded side project with no business model, no app, no provinces, and no revenue. This is the competition HillWatch faces in Canada. There is none.</w:t>
      </w:r>
    </w:p>
    <w:p>
      <w:r>
        <w:br w:type="page"/>
      </w:r>
    </w:p>
    <w:p>
      <w:pPr>
        <w:pStyle w:val="Heading1"/>
        <w:spacing w:after="200" w:before="400"/>
      </w:pPr>
      <w:r>
        <w:rPr>
          <w:rFonts w:ascii="Calibri" w:cs="Calibri" w:eastAsia="Calibri" w:hAnsi="Calibri"/>
          <w:b/>
          <w:bCs/>
          <w:color w:val="1C1C1E"/>
          <w:sz w:val="36"/>
          <w:szCs w:val="36"/>
        </w:rPr>
        <w:t xml:space="preserve">02 — Market Size &amp; Growth</w:t>
      </w:r>
    </w:p>
    <w:p>
      <w:pPr>
        <w:spacing w:after="120" w:before="80"/>
      </w:pPr>
      <w:r>
        <w:rPr>
          <w:rFonts w:ascii="Calibri" w:cs="Calibri" w:eastAsia="Calibri" w:hAnsi="Calibri"/>
          <w:color w:val="333333"/>
          <w:sz w:val="22"/>
          <w:szCs w:val="22"/>
        </w:rPr>
        <w:t xml:space="preserve">The govtech and civic intelligence market is large, growing rapidly, and increasingly dominated by AI-powered platforms. HillWatch sits at the intersection of three growing markets.</w:t>
      </w:r>
    </w:p>
    <w:tbl>
      <w:tblPr>
        <w:tblW w:type="dxa" w:w="11360"/>
        <w:tblBorders>
          <w:top w:val="single" w:color="auto" w:sz="4"/>
          <w:left w:val="single" w:color="auto" w:sz="4"/>
          <w:bottom w:val="single" w:color="auto" w:sz="4"/>
          <w:right w:val="single" w:color="auto" w:sz="4"/>
          <w:insideH w:val="single" w:color="auto" w:sz="4"/>
          <w:insideV w:val="single" w:color="auto" w:sz="4"/>
        </w:tblBorders>
      </w:tblPr>
      <w:tblGrid>
        <w:gridCol w:w="2600"/>
        <w:gridCol w:w="1900"/>
        <w:gridCol w:w="2200"/>
        <w:gridCol w:w="1400"/>
        <w:gridCol w:w="3260"/>
      </w:tblGrid>
      <w:tr>
        <w:tc>
          <w:tcPr>
            <w:tcW w:type="dxa" w:w="26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Market</w:t>
            </w:r>
          </w:p>
        </w:tc>
        <w:tc>
          <w:tcPr>
            <w:tcW w:type="dxa" w:w="19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2025 Size</w:t>
            </w:r>
          </w:p>
        </w:tc>
        <w:tc>
          <w:tcPr>
            <w:tcW w:type="dxa" w:w="22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2032–2035 Projection</w:t>
            </w:r>
          </w:p>
        </w:tc>
        <w:tc>
          <w:tcPr>
            <w:tcW w:type="dxa" w:w="1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CAGR</w:t>
            </w:r>
          </w:p>
        </w:tc>
        <w:tc>
          <w:tcPr>
            <w:tcW w:type="dxa" w:w="32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HillWatch's Slice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Public Affairs &amp; Advocacy Software</w:t>
            </w:r>
          </w:p>
        </w:tc>
        <w:tc>
          <w:tcPr>
            <w:tcW w:type="dxa" w:w="1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$1.5B</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$3.8B</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Enterprise B2B dashboard</w:t>
            </w:r>
          </w:p>
        </w:tc>
      </w:tr>
      <w:tr>
        <w:tc>
          <w:tcPr>
            <w:tcW w:type="dxa" w:w="2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GovTech / RegTech (Global)</w:t>
            </w:r>
          </w:p>
        </w:tc>
        <w:tc>
          <w:tcPr>
            <w:tcW w:type="dxa" w:w="19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$15–24B</w:t>
            </w:r>
          </w:p>
        </w:tc>
        <w:tc>
          <w:tcPr>
            <w:tcW w:type="dxa" w:w="2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$77–116B</w:t>
            </w:r>
          </w:p>
        </w:tc>
        <w:tc>
          <w:tcPr>
            <w:tcW w:type="dxa" w:w="1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17–23%</w:t>
            </w:r>
          </w:p>
        </w:tc>
        <w:tc>
          <w:tcPr>
            <w:tcW w:type="dxa" w:w="32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Regulatory intelligence layer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Civic Engagement Platforms</w:t>
            </w:r>
          </w:p>
        </w:tc>
        <w:tc>
          <w:tcPr>
            <w:tcW w:type="dxa" w:w="1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$11.5B</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$18.2B</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6.6%</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Consumer app + sentiment data</w:t>
            </w:r>
          </w:p>
        </w:tc>
      </w:tr>
      <w:tr>
        <w:tc>
          <w:tcPr>
            <w:tcW w:type="dxa" w:w="2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Canadian GovTech (Federal IT Spend)</w:t>
            </w:r>
          </w:p>
        </w:tc>
        <w:tc>
          <w:tcPr>
            <w:tcW w:type="dxa" w:w="19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$5B+/year</w:t>
            </w:r>
          </w:p>
        </w:tc>
        <w:tc>
          <w:tcPr>
            <w:tcW w:type="dxa" w:w="2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Growing</w:t>
            </w:r>
          </w:p>
        </w:tc>
        <w:tc>
          <w:tcPr>
            <w:tcW w:type="dxa" w:w="1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~8–12%</w:t>
            </w:r>
          </w:p>
        </w:tc>
        <w:tc>
          <w:tcPr>
            <w:tcW w:type="dxa" w:w="32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First Canadian-specific entrant</w:t>
            </w:r>
          </w:p>
        </w:tc>
      </w:tr>
    </w:tbl>
    <w:p>
      <w:pPr>
        <w:spacing w:after="100" w:before="200"/>
      </w:pPr>
    </w:p>
    <w:p>
      <w:pPr>
        <w:spacing w:after="120" w:before="80"/>
      </w:pPr>
      <w:r>
        <w:rPr>
          <w:rFonts w:ascii="Calibri" w:cs="Calibri" w:eastAsia="Calibri" w:hAnsi="Calibri"/>
          <w:color w:val="333333"/>
          <w:sz w:val="22"/>
          <w:szCs w:val="22"/>
        </w:rPr>
        <w:t xml:space="preserve">North America holds approximately 40% of the global public affairs software market. With 38 million people and 11 active legislatures generating daily policy activity, Canada is a significant and entirely unserved segment of that North American market.</w:t>
      </w:r>
    </w:p>
    <w:p>
      <w:r>
        <w:br w:type="page"/>
      </w:r>
    </w:p>
    <w:p>
      <w:pPr>
        <w:pStyle w:val="Heading1"/>
        <w:spacing w:after="200" w:before="400"/>
      </w:pPr>
      <w:r>
        <w:rPr>
          <w:rFonts w:ascii="Calibri" w:cs="Calibri" w:eastAsia="Calibri" w:hAnsi="Calibri"/>
          <w:b/>
          <w:bCs/>
          <w:color w:val="1C1C1E"/>
          <w:sz w:val="36"/>
          <w:szCs w:val="36"/>
        </w:rPr>
        <w:t xml:space="preserve">03 — Valuation Framework: What Is HillWatch Worth?</w:t>
      </w:r>
    </w:p>
    <w:p>
      <w:pPr>
        <w:spacing w:after="120" w:before="80"/>
      </w:pPr>
      <w:r>
        <w:rPr>
          <w:rFonts w:ascii="Calibri" w:cs="Calibri" w:eastAsia="Calibri" w:hAnsi="Calibri"/>
          <w:color w:val="333333"/>
          <w:sz w:val="22"/>
          <w:szCs w:val="22"/>
        </w:rPr>
        <w:t xml:space="preserve">The question for any acquirer or investor is: what could HillWatch realistically be worth, and how does that compare to the asking price for this concept? This section answers that using comparable company analysis and standard SaaS valuation multiples.</w:t>
      </w:r>
    </w:p>
    <w:p>
      <w:pPr>
        <w:pStyle w:val="Heading2"/>
        <w:spacing w:after="150" w:before="300"/>
      </w:pPr>
      <w:r>
        <w:rPr>
          <w:rFonts w:ascii="Calibri" w:cs="Calibri" w:eastAsia="Calibri" w:hAnsi="Calibri"/>
          <w:b/>
          <w:bCs/>
          <w:color w:val="C0392B"/>
          <w:sz w:val="28"/>
          <w:szCs w:val="28"/>
        </w:rPr>
        <w:t xml:space="preserve">SaaS Valuation Methodology</w:t>
      </w:r>
    </w:p>
    <w:p>
      <w:pPr>
        <w:spacing w:after="120" w:before="80"/>
      </w:pPr>
      <w:r>
        <w:rPr>
          <w:rFonts w:ascii="Calibri" w:cs="Calibri" w:eastAsia="Calibri" w:hAnsi="Calibri"/>
          <w:color w:val="333333"/>
          <w:sz w:val="22"/>
          <w:szCs w:val="22"/>
        </w:rPr>
        <w:t xml:space="preserve">SaaS companies are typically valued as a multiple of Annual Recurring Revenue (ARR). The multiple varies based on growth rate, market size, gross margin, and competitive positioning.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Stage</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Typical ARR Multiple</w:t>
            </w:r>
          </w:p>
        </w:tc>
        <w:tc>
          <w:tcPr>
            <w:tcW w:type="dxa" w:w="37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Notes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Seed / Pre-Revenue Concept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N/A (asset value + option value)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Valued on potential, IP, and market position</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Early Stage ($0–$1M ARR)</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5–10x ARR</w:t>
            </w:r>
          </w:p>
        </w:tc>
        <w:tc>
          <w:tcPr>
            <w:tcW w:type="dxa" w:w="37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Proof of concept + early traction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Growth Stage ($1M–$10M ARR)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8–15x ARR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Strong retention + clear path to scale</w:t>
            </w:r>
          </w:p>
        </w:tc>
      </w:tr>
      <w:tr>
        <w:tc>
          <w:tcPr>
            <w:tcW w:type="dxa" w:w="32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Scale Stage ($10M+ ARR)</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10–20x ARR</w:t>
            </w:r>
          </w:p>
        </w:tc>
        <w:tc>
          <w:tcPr>
            <w:tcW w:type="dxa" w:w="37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 IPO'd at ~10x revenue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Public Company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2–5x ARR (current market)</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Post-2022 correction — public multiples compressed</w:t>
            </w:r>
          </w:p>
        </w:tc>
      </w:tr>
    </w:tbl>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HillWatch Valuation at Each Stage</w:t>
      </w:r>
    </w:p>
    <w:tbl>
      <w:tblPr>
        <w:tblW w:type="dxa" w:w="11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1600"/>
        <w:gridCol w:w="2400"/>
        <w:gridCol w:w="2960"/>
      </w:tblGrid>
      <w:tr>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Scenario</w:t>
            </w:r>
          </w:p>
        </w:tc>
        <w:tc>
          <w:tcPr>
            <w:tcW w:type="dxa" w:w="20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ARR</w:t>
            </w:r>
          </w:p>
        </w:tc>
        <w:tc>
          <w:tcPr>
            <w:tcW w:type="dxa" w:w="16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Multiple</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Implied Valuation</w:t>
            </w:r>
          </w:p>
        </w:tc>
        <w:tc>
          <w:tcPr>
            <w:tcW w:type="dxa" w:w="29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Comparable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Year 1 — Lean MVP</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$150K–$390K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$2M–$5M</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Seed-stage SaaS with traction</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Year 2 — Growth</w:t>
            </w:r>
          </w:p>
        </w:tc>
        <w:tc>
          <w:tcPr>
            <w:tcW w:type="dxa" w:w="2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$500K–$1.5M</w:t>
            </w:r>
          </w:p>
        </w:tc>
        <w:tc>
          <w:tcPr>
            <w:tcW w:type="dxa" w:w="1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8–12x</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$4M–$18M</w:t>
            </w:r>
          </w:p>
        </w:tc>
        <w:tc>
          <w:tcPr>
            <w:tcW w:type="dxa" w:w="29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Early B2B SaaS with 15+ clients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Year 3 — Scale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$1.3M–$3.85M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10–15x</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$13M–$58M</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Established Canadian GovTech</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Year 5 — Leadership</w:t>
            </w:r>
          </w:p>
        </w:tc>
        <w:tc>
          <w:tcPr>
            <w:tcW w:type="dxa" w:w="20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$10M–$25M</w:t>
            </w:r>
          </w:p>
        </w:tc>
        <w:tc>
          <w:tcPr>
            <w:tcW w:type="dxa" w:w="1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12–18x</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$120M–$450M</w:t>
            </w:r>
          </w:p>
        </w:tc>
        <w:tc>
          <w:tcPr>
            <w:tcW w:type="dxa" w:w="29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Quorum-equivalent at Canadian scale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Exit — Acquisition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$20M–$50M ARR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15–20x</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$300M–$1B</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 precedent: $1.3B at IPO</w:t>
            </w:r>
          </w:p>
        </w:tc>
      </w:tr>
    </w:tbl>
    <w:p>
      <w:pPr>
        <w:pBdr>
          <w:left w:val="single" w:color="C0392B" w:sz="12"/>
        </w:pBdr>
        <w:spacing w:after="160" w:before="160"/>
        <w:ind w:left="360"/>
      </w:pPr>
      <w:r>
        <w:rPr>
          <w:rFonts w:ascii="Calibri" w:cs="Calibri" w:eastAsia="Calibri" w:hAnsi="Calibri"/>
          <w:i/>
          <w:iCs/>
          <w:color w:val="1C1C1E"/>
          <w:sz w:val="22"/>
          <w:szCs w:val="22"/>
        </w:rPr>
        <w:t xml:space="preserve">The $50,000 USD asking price for this concept represents less than 1% of the Year 3 conservative valuation. An acquirer is not buying a $50K website — they are buying a ground-floor entry into a market that the U.S. has proven is worth hundreds of millions.</w:t>
      </w:r>
    </w:p>
    <w:p>
      <w:r>
        <w:br w:type="page"/>
      </w:r>
    </w:p>
    <w:p>
      <w:pPr>
        <w:pStyle w:val="Heading1"/>
        <w:spacing w:after="200" w:before="400"/>
      </w:pPr>
      <w:r>
        <w:rPr>
          <w:rFonts w:ascii="Calibri" w:cs="Calibri" w:eastAsia="Calibri" w:hAnsi="Calibri"/>
          <w:b/>
          <w:bCs/>
          <w:color w:val="1C1C1E"/>
          <w:sz w:val="36"/>
          <w:szCs w:val="36"/>
        </w:rPr>
        <w:t xml:space="preserve">04 — Exit Pathways</w:t>
      </w:r>
    </w:p>
    <w:p>
      <w:pPr>
        <w:spacing w:after="120" w:before="80"/>
      </w:pPr>
      <w:r>
        <w:rPr>
          <w:rFonts w:ascii="Calibri" w:cs="Calibri" w:eastAsia="Calibri" w:hAnsi="Calibri"/>
          <w:color w:val="333333"/>
          <w:sz w:val="22"/>
          <w:szCs w:val="22"/>
        </w:rPr>
        <w:t xml:space="preserve">Understanding the exit options is critical for any investor or acquirer evaluating HillWatch. There are four realistic exit pathways, each with historical precedent.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2400"/>
        <w:gridCol w:w="1760"/>
      </w:tblGrid>
      <w:tr>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Exit Path</w:t>
            </w:r>
          </w:p>
        </w:tc>
        <w:tc>
          <w:tcPr>
            <w:tcW w:type="dxa" w:w="2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Description</w:t>
            </w:r>
          </w:p>
        </w:tc>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Historical Precedent</w:t>
            </w:r>
          </w:p>
        </w:tc>
        <w:tc>
          <w:tcPr>
            <w:tcW w:type="dxa" w:w="17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Est. Value Range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Strategic Acquisition
(Canadian Media)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Acquisition by Globe and Mail, CBC, Postmedia, or TVO. They get a product, data asset, and digital audience.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Politico acquired by Axel Springer for $1B+ (2021). Vox Media sold to Penske for $100M+.</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$50M–$300M</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Strategic Acquisition
(U.S. GovTech Player)</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 Quorum, or Bloomberg Government expands into Canada by acquiring HillWatch.</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 acquired 15+ companies to expand coverage. Quorum acquired Capitol Canary and CisionPAC.</w:t>
            </w:r>
          </w:p>
        </w:tc>
        <w:tc>
          <w:tcPr>
            <w:tcW w:type="dxa" w:w="17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$75M–$400M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Private Equity Rollup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PE firm building a GovTech or civic data platform acquires HillWatch as a Canadian anchor.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Thoma Bravo-backed Quorum Software raised $691M. Francisco Partners invested in similar platforms.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$50M–$250M</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IPO / SPAC</w:t>
            </w:r>
          </w:p>
        </w:tc>
        <w:tc>
          <w:tcPr>
            <w:tcW w:type="dxa" w:w="28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HillWatch goes public as Canada's civic intelligence platform — similar to FiscalNote's 2022 SPAC.</w:t>
            </w:r>
          </w:p>
        </w:tc>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 IPO'd at $1.3B. GovTech as a category attracted significant public market interest in 2021–22.</w:t>
            </w:r>
          </w:p>
        </w:tc>
        <w:tc>
          <w:tcPr>
            <w:tcW w:type="dxa" w:w="17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$200M–$1B+</w:t>
            </w:r>
          </w:p>
        </w:tc>
      </w:tr>
    </w:tbl>
    <w:p>
      <w:pPr>
        <w:pBdr>
          <w:bottom w:val="single" w:color="E5E5EA" w:sz="4"/>
        </w:pBdr>
        <w:spacing w:after="200" w:before="200"/>
      </w:pPr>
    </w:p>
    <w:p>
      <w:pPr>
        <w:pStyle w:val="Heading2"/>
        <w:spacing w:after="150" w:before="300"/>
      </w:pPr>
      <w:r>
        <w:rPr>
          <w:rFonts w:ascii="Calibri" w:cs="Calibri" w:eastAsia="Calibri" w:hAnsi="Calibri"/>
          <w:b/>
          <w:bCs/>
          <w:color w:val="C0392B"/>
          <w:sz w:val="28"/>
          <w:szCs w:val="28"/>
        </w:rPr>
        <w:t xml:space="preserve">Key Acquisition Signals in the Market</w:t>
      </w:r>
    </w:p>
    <w:p>
      <w:pPr>
        <w:pStyle w:val="ListParagraph"/>
        <w:numPr>
          <w:ilvl w:val="0"/>
          <w:numId w:val="2"/>
        </w:numPr>
        <w:spacing w:after="60" w:before="60"/>
      </w:pPr>
      <w:r>
        <w:rPr>
          <w:rFonts w:ascii="Calibri" w:cs="Calibri" w:eastAsia="Calibri" w:hAnsi="Calibri"/>
          <w:color w:val="333333"/>
          <w:sz w:val="22"/>
          <w:szCs w:val="22"/>
        </w:rPr>
        <w:t xml:space="preserve">FiscalNote was actively expanding internationally before financial challenges — Canada was a logical next market</w:t>
      </w:r>
    </w:p>
    <w:p>
      <w:pPr>
        <w:pStyle w:val="ListParagraph"/>
        <w:numPr>
          <w:ilvl w:val="0"/>
          <w:numId w:val="2"/>
        </w:numPr>
        <w:spacing w:after="60" w:before="60"/>
      </w:pPr>
      <w:r>
        <w:rPr>
          <w:rFonts w:ascii="Calibri" w:cs="Calibri" w:eastAsia="Calibri" w:hAnsi="Calibri"/>
          <w:color w:val="333333"/>
          <w:sz w:val="22"/>
          <w:szCs w:val="22"/>
        </w:rPr>
        <w:t xml:space="preserve">Quorum serves Fortune 100 companies with Canadian operations who need Canadian coverage</w:t>
      </w:r>
    </w:p>
    <w:p>
      <w:pPr>
        <w:pStyle w:val="ListParagraph"/>
        <w:numPr>
          <w:ilvl w:val="0"/>
          <w:numId w:val="2"/>
        </w:numPr>
        <w:spacing w:after="60" w:before="60"/>
      </w:pPr>
      <w:r>
        <w:rPr>
          <w:rFonts w:ascii="Calibri" w:cs="Calibri" w:eastAsia="Calibri" w:hAnsi="Calibri"/>
          <w:color w:val="333333"/>
          <w:sz w:val="22"/>
          <w:szCs w:val="22"/>
        </w:rPr>
        <w:t xml:space="preserve">Bloomberg Government's parent (Bloomberg L.P.) has a significant Canadian media presence and the infrastructure to expand BGOV north</w:t>
      </w:r>
    </w:p>
    <w:p>
      <w:pPr>
        <w:pStyle w:val="ListParagraph"/>
        <w:numPr>
          <w:ilvl w:val="0"/>
          <w:numId w:val="2"/>
        </w:numPr>
        <w:spacing w:after="60" w:before="60"/>
      </w:pPr>
      <w:r>
        <w:rPr>
          <w:rFonts w:ascii="Calibri" w:cs="Calibri" w:eastAsia="Calibri" w:hAnsi="Calibri"/>
          <w:color w:val="333333"/>
          <w:sz w:val="22"/>
          <w:szCs w:val="22"/>
        </w:rPr>
        <w:t xml:space="preserve">Canadian media companies (Globe, CBC) are actively looking for digital product revenue streams beyond advertising</w:t>
      </w:r>
    </w:p>
    <w:p>
      <w:pPr>
        <w:pStyle w:val="ListParagraph"/>
        <w:numPr>
          <w:ilvl w:val="0"/>
          <w:numId w:val="2"/>
        </w:numPr>
        <w:spacing w:after="60" w:before="60"/>
      </w:pPr>
      <w:r>
        <w:rPr>
          <w:rFonts w:ascii="Calibri" w:cs="Calibri" w:eastAsia="Calibri" w:hAnsi="Calibri"/>
          <w:color w:val="333333"/>
          <w:sz w:val="22"/>
          <w:szCs w:val="22"/>
        </w:rPr>
        <w:t xml:space="preserve">Thomson Reuters — headquartered in Toronto — is a direct competitor to FiscalNote globally and has both the motive and capital to acquire a Canadian civic intelligence platform</w:t>
      </w:r>
    </w:p>
    <w:p>
      <w:r>
        <w:br w:type="page"/>
      </w:r>
    </w:p>
    <w:p>
      <w:pPr>
        <w:pStyle w:val="Heading1"/>
        <w:spacing w:after="200" w:before="400"/>
      </w:pPr>
      <w:r>
        <w:rPr>
          <w:rFonts w:ascii="Calibri" w:cs="Calibri" w:eastAsia="Calibri" w:hAnsi="Calibri"/>
          <w:b/>
          <w:bCs/>
          <w:color w:val="1C1C1E"/>
          <w:sz w:val="36"/>
          <w:szCs w:val="36"/>
        </w:rPr>
        <w:t xml:space="preserve">05 — The HillWatch Advantage: Why Canada Is Different</w:t>
      </w:r>
    </w:p>
    <w:p>
      <w:pPr>
        <w:spacing w:after="120" w:before="80"/>
      </w:pPr>
      <w:r>
        <w:rPr>
          <w:rFonts w:ascii="Calibri" w:cs="Calibri" w:eastAsia="Calibri" w:hAnsi="Calibri"/>
          <w:color w:val="333333"/>
          <w:sz w:val="22"/>
          <w:szCs w:val="22"/>
        </w:rPr>
        <w:t xml:space="preserve">A natural question is: if the U.S. market is so large and proven, why haven't U.S. players expanded into Canada already? The answer lies in the structural differences that make Canada both a significant opportunity and a genuinely defensible market.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900"/>
        <w:gridCol w:w="3860"/>
      </w:tblGrid>
      <w:tr>
        <w:tc>
          <w:tcPr>
            <w:tcW w:type="dxa" w:w="26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Factor</w:t>
            </w:r>
          </w:p>
        </w:tc>
        <w:tc>
          <w:tcPr>
            <w:tcW w:type="dxa" w:w="29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U.S. Market</w:t>
            </w:r>
          </w:p>
        </w:tc>
        <w:tc>
          <w:tcPr>
            <w:tcW w:type="dxa" w:w="38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Canada (HillWatch's Advantage)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Legislative Coverage</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Congress + 50 state legislatures</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Parliament + 10 provincial legislatures — requires separate scraping per province</w:t>
            </w:r>
          </w:p>
        </w:tc>
      </w:tr>
      <w:tr>
        <w:tc>
          <w:tcPr>
            <w:tcW w:type="dxa" w:w="2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Language</w:t>
            </w:r>
          </w:p>
        </w:tc>
        <w:tc>
          <w:tcPr>
            <w:tcW w:type="dxa" w:w="29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English only</w:t>
            </w:r>
          </w:p>
        </w:tc>
        <w:tc>
          <w:tcPr>
            <w:tcW w:type="dxa" w:w="38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Bilingual (English + French) — additional complexity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Political System</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Presidential / congressional</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Westminster parliamentary — different structure, different data</w:t>
            </w:r>
          </w:p>
        </w:tc>
      </w:tr>
      <w:tr>
        <w:tc>
          <w:tcPr>
            <w:tcW w:type="dxa" w:w="2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Regulatory Bodies</w:t>
            </w:r>
          </w:p>
        </w:tc>
        <w:tc>
          <w:tcPr>
            <w:tcW w:type="dxa" w:w="29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SEC, EPA, FDA, etc.</w:t>
            </w:r>
          </w:p>
        </w:tc>
        <w:tc>
          <w:tcPr>
            <w:tcW w:type="dxa" w:w="38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CRTC, NEB, OSFI, Health Canada, provincial equivalents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Market Served by U.S. Tools</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Fully served</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Zero venture-backed equivalents</w:t>
            </w:r>
          </w:p>
        </w:tc>
      </w:tr>
      <w:tr>
        <w:tc>
          <w:tcPr>
            <w:tcW w:type="dxa" w:w="26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Consumer Trust</w:t>
            </w:r>
          </w:p>
        </w:tc>
        <w:tc>
          <w:tcPr>
            <w:tcW w:type="dxa" w:w="29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High civic distrust (general)</w:t>
            </w:r>
          </w:p>
        </w:tc>
        <w:tc>
          <w:tcPr>
            <w:tcW w:type="dxa" w:w="38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83% distrust politicians — HillWatch addresses this directly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First-Mover Advantage</w:t>
            </w:r>
          </w:p>
        </w:tc>
        <w:tc>
          <w:tcPr>
            <w:tcW w:type="dxa" w:w="2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Competed (Quorum, FiscalNote, BGOV)</w:t>
            </w:r>
          </w:p>
        </w:tc>
        <w:tc>
          <w:tcPr>
            <w:tcW w:type="dxa" w:w="3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Wide open — HillWatch is first</w:t>
            </w:r>
          </w:p>
        </w:tc>
      </w:tr>
    </w:tbl>
    <w:p>
      <w:pPr>
        <w:pBdr>
          <w:left w:val="single" w:color="C0392B" w:sz="12"/>
        </w:pBdr>
        <w:spacing w:after="160" w:before="160"/>
        <w:ind w:left="360"/>
      </w:pPr>
      <w:r>
        <w:rPr>
          <w:rFonts w:ascii="Calibri" w:cs="Calibri" w:eastAsia="Calibri" w:hAnsi="Calibri"/>
          <w:i/>
          <w:iCs/>
          <w:color w:val="1C1C1E"/>
          <w:sz w:val="22"/>
          <w:szCs w:val="22"/>
        </w:rPr>
        <w:t xml:space="preserve">U.S. tools don't serve Canada because Canada requires a genuinely different product — different legislatures, different political system, bilingual requirements, and a different regulatory landscape. This is not a gap that Quorum or FiscalNote will close by flipping a switch. It requires a Canada-first build. HillWatch is that build.</w:t>
      </w:r>
    </w:p>
    <w:p>
      <w:r>
        <w:br w:type="page"/>
      </w:r>
    </w:p>
    <w:p>
      <w:pPr>
        <w:pStyle w:val="Heading1"/>
        <w:spacing w:after="200" w:before="400"/>
      </w:pPr>
      <w:r>
        <w:rPr>
          <w:rFonts w:ascii="Calibri" w:cs="Calibri" w:eastAsia="Calibri" w:hAnsi="Calibri"/>
          <w:b/>
          <w:bCs/>
          <w:color w:val="1C1C1E"/>
          <w:sz w:val="36"/>
          <w:szCs w:val="36"/>
        </w:rPr>
        <w:t xml:space="preserve">06 — Summary: The Investment Case in Four Numbers</w:t>
      </w:r>
    </w:p>
    <w:p>
      <w:pPr>
        <w:spacing w:after="20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Number</w:t>
            </w:r>
          </w:p>
        </w:tc>
        <w:tc>
          <w:tcPr>
            <w:tcW w:type="dxa" w:w="696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19"/>
                <w:szCs w:val="19"/>
              </w:rPr>
              <w:t xml:space="preserve">What It Means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$50,000 USD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What you pay to acquire this fully validated, documented, live-website concept package</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$0</w:t>
            </w:r>
          </w:p>
        </w:tc>
        <w:tc>
          <w:tcPr>
            <w:tcW w:type="dxa" w:w="69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Number of venture-backed Canadian civic intelligence competitors. You enter with no competition.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C0392B"/>
                <w:sz w:val="19"/>
                <w:szCs w:val="19"/>
              </w:rPr>
              <w:t xml:space="preserve">$200M+</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Combined annual revenue of the closest U.S. equivalents — proving the market is real and large</w:t>
            </w:r>
          </w:p>
        </w:tc>
      </w:tr>
      <w:tr>
        <w:tc>
          <w:tcPr>
            <w:tcW w:type="dxa" w:w="240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bCs/>
                <w:color w:val="C0392B"/>
                <w:sz w:val="19"/>
                <w:szCs w:val="19"/>
              </w:rPr>
              <w:t xml:space="preserve">$1.3 Billion</w:t>
            </w:r>
          </w:p>
        </w:tc>
        <w:tc>
          <w:tcPr>
            <w:tcW w:type="dxa" w:w="6960"/>
            <w:tcBorders>
              <w:top w:val="single" w:color="CCCCCC" w:sz="1"/>
              <w:left w:val="single" w:color="CCCCCC" w:sz="1"/>
              <w:bottom w:val="single" w:color="CCCCCC" w:sz="1"/>
              <w:right w:val="single" w:color="CCCCCC" w:sz="1"/>
            </w:tcBorders>
            <w:shd w:fill="F5F4F0" w:val="clear"/>
            <w:tcMar>
              <w:top w:type="dxa" w:w="80"/>
              <w:left w:type="dxa" w:w="120"/>
              <w:bottom w:type="dxa" w:w="80"/>
              <w:right w:type="dxa" w:w="120"/>
            </w:tcMar>
          </w:tcPr>
          <w:p>
            <w:r>
              <w:rPr>
                <w:rFonts w:ascii="Calibri" w:cs="Calibri" w:eastAsia="Calibri" w:hAnsi="Calibri"/>
                <w:b w:val="false"/>
                <w:bCs w:val="false"/>
                <w:color w:val="333333"/>
                <w:sz w:val="19"/>
                <w:szCs w:val="19"/>
              </w:rPr>
              <w:t xml:space="preserve">FiscalNote's valuation at IPO — doing the same thing HillWatch does, for the U.S. only</w:t>
            </w:r>
          </w:p>
        </w:tc>
      </w:tr>
    </w:tbl>
    <w:p>
      <w:pPr>
        <w:spacing w:after="200" w:before="300"/>
      </w:pPr>
    </w:p>
    <w:p>
      <w:pPr>
        <w:spacing w:after="120" w:before="80"/>
      </w:pPr>
      <w:r>
        <w:rPr>
          <w:rFonts w:ascii="Calibri" w:cs="Calibri" w:eastAsia="Calibri" w:hAnsi="Calibri"/>
          <w:color w:val="333333"/>
          <w:sz w:val="22"/>
          <w:szCs w:val="22"/>
        </w:rPr>
        <w:t xml:space="preserve">The acquisition of HillWatch is not a bet on whether civic intelligence software has value. FiscalNote, Quorum, Bloomberg Government, and Politico Pro have already proven it does — to the tune of hundreds of millions in annual revenue and valuations exceeding a billion dollars.</w:t>
      </w:r>
    </w:p>
    <w:p>
      <w:pPr>
        <w:spacing w:after="120" w:before="80"/>
      </w:pPr>
      <w:r>
        <w:rPr>
          <w:rFonts w:ascii="Calibri" w:cs="Calibri" w:eastAsia="Calibri" w:hAnsi="Calibri"/>
          <w:color w:val="333333"/>
          <w:sz w:val="22"/>
          <w:szCs w:val="22"/>
        </w:rPr>
        <w:t xml:space="preserve">The acquisition of HillWatch is a bet on whether Canada deserves the same — and on being the team that builds it first.</w:t>
      </w:r>
    </w:p>
    <w:p>
      <w:pPr>
        <w:pBdr>
          <w:left w:val="single" w:color="C0392B" w:sz="12"/>
        </w:pBdr>
        <w:spacing w:after="160" w:before="160"/>
        <w:ind w:left="360"/>
      </w:pPr>
      <w:r>
        <w:rPr>
          <w:rFonts w:ascii="Calibri" w:cs="Calibri" w:eastAsia="Calibri" w:hAnsi="Calibri"/>
          <w:i/>
          <w:iCs/>
          <w:color w:val="1C1C1E"/>
          <w:sz w:val="22"/>
          <w:szCs w:val="22"/>
        </w:rPr>
        <w:t xml:space="preserve">The case is not that HillWatch will definitely become a billion-dollar company. The case is that the market is proven, the gap is real, the concept is validated, and the asking price of $50,000 USD is a fraction of what it would cost to recreate this foundation from scratch.</w:t>
      </w:r>
    </w:p>
    <w:p>
      <w:pPr>
        <w:pBdr>
          <w:bottom w:val="single" w:color="E5E5EA" w:sz="4"/>
        </w:pBdr>
        <w:spacing w:after="200" w:before="200"/>
      </w:pPr>
    </w:p>
    <w:p>
      <w:pPr>
        <w:spacing w:after="100" w:before="200"/>
      </w:pPr>
      <w:r>
        <w:rPr>
          <w:rFonts w:ascii="Calibri" w:cs="Calibri" w:eastAsia="Calibri" w:hAnsi="Calibri"/>
          <w:b/>
          <w:bCs/>
          <w:color w:val="666666"/>
          <w:sz w:val="20"/>
          <w:szCs w:val="20"/>
        </w:rPr>
        <w:t xml:space="preserve">Confidential Document</w:t>
      </w:r>
    </w:p>
    <w:p>
      <w:pPr>
        <w:spacing w:after="0" w:before="0"/>
      </w:pPr>
      <w:r>
        <w:rPr>
          <w:rFonts w:ascii="Calibri" w:cs="Calibri" w:eastAsia="Calibri" w:hAnsi="Calibri"/>
          <w:i/>
          <w:iCs/>
          <w:color w:val="999999"/>
          <w:sz w:val="18"/>
          <w:szCs w:val="18"/>
        </w:rPr>
        <w:t xml:space="preserve">This document is intended solely for authorized recipients. All financial data is sourced from public filings, company reports, and industry research as of April 2026. Valuations are estimates based on comparable analysis and are not guarantees of future performance. © 2026 HillWatch · hillwatch.ca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C1C1E"/>
      <w:sz w:val="36"/>
      <w:szCs w:val="36"/>
    </w:rPr>
  </w:style>
  <w:style w:type="paragraph" w:styleId="Heading2">
    <w:name w:val="Heading 2"/>
    <w:basedOn w:val="Normal"/>
    <w:next w:val="Normal"/>
    <w:qFormat/>
    <w:pPr>
      <w:spacing w:after="150" w:before="300"/>
      <w:outlineLvl w:val="1"/>
    </w:pPr>
    <w:rPr>
      <w:rFonts w:ascii="Calibri" w:cs="Calibri" w:eastAsia="Calibri" w:hAnsi="Calibri"/>
      <w:b/>
      <w:bCs/>
      <w:color w:val="C039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2026-04-06T00:54:09.977Z</dcterms:created>
  <dcterms:modified xsi:type="dcterms:W3CDTF">2026-04-06T00:54:09.978Z</dcterms:modified>
</cp:coreProperties>
</file>

<file path=docProps/custom.xml><?xml version="1.0" encoding="utf-8"?>
<Properties xmlns="http://schemas.openxmlformats.org/officeDocument/2006/custom-properties" xmlns:vt="http://schemas.openxmlformats.org/officeDocument/2006/docPropsVTypes"/>
</file>